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34F6" w14:textId="77777777" w:rsidR="00D26455" w:rsidRDefault="00000000">
      <w:pPr>
        <w:spacing w:after="200" w:line="280" w:lineRule="auto"/>
      </w:pPr>
      <w:r>
        <w:rPr>
          <w:rFonts w:ascii="Poppins Medium" w:hAnsi="Poppins Medium" w:cs="Poppins Medium"/>
          <w:color w:val="E91E63"/>
          <w:sz w:val="18"/>
          <w:szCs w:val="18"/>
        </w:rPr>
        <w:t>PRESSEMITTEILUNG</w:t>
      </w:r>
    </w:p>
    <w:p w14:paraId="51D4F0BF" w14:textId="77777777" w:rsidR="0039466C" w:rsidRPr="0039466C" w:rsidRDefault="0039466C" w:rsidP="0039466C">
      <w:pPr>
        <w:spacing w:before="100" w:beforeAutospacing="1" w:after="100" w:afterAutospacing="1" w:line="300" w:lineRule="atLeast"/>
        <w:outlineLvl w:val="1"/>
        <w:rPr>
          <w:rFonts w:ascii="Poppins" w:hAnsi="Poppins" w:cs="Poppins"/>
          <w:sz w:val="36"/>
          <w:szCs w:val="36"/>
        </w:rPr>
      </w:pPr>
      <w:r w:rsidRPr="0039466C">
        <w:rPr>
          <w:rFonts w:ascii="Poppins" w:hAnsi="Poppins" w:cs="Poppins"/>
          <w:sz w:val="36"/>
          <w:szCs w:val="36"/>
        </w:rPr>
        <w:t xml:space="preserve">Enginsight veröffentlicht NIS2 Readiness Check </w:t>
      </w:r>
    </w:p>
    <w:p w14:paraId="78FB7550" w14:textId="2702E454" w:rsidR="0039466C" w:rsidRPr="0039466C" w:rsidRDefault="0039466C" w:rsidP="0039466C">
      <w:pPr>
        <w:spacing w:after="360" w:line="320" w:lineRule="auto"/>
        <w:rPr>
          <w:rFonts w:ascii="Poppins Light" w:hAnsi="Poppins Light" w:cs="Poppins Light"/>
          <w:i/>
          <w:iCs/>
          <w:color w:val="54595F"/>
        </w:rPr>
      </w:pPr>
      <w:r w:rsidRPr="0039466C">
        <w:rPr>
          <w:rFonts w:ascii="Poppins Light" w:hAnsi="Poppins Light" w:cs="Poppins Light"/>
          <w:i/>
          <w:iCs/>
          <w:color w:val="54595F"/>
        </w:rPr>
        <w:t>In acht Minuten zur ersten Bewertung von Reifegrad, Vorschlägen für Sofortmaßnahmen und Bewertung der Risikoexposition</w:t>
      </w:r>
    </w:p>
    <w:p w14:paraId="6700BCF9" w14:textId="7BA126C3" w:rsidR="00A71789" w:rsidRPr="0039466C" w:rsidRDefault="00000000" w:rsidP="0039466C">
      <w:pPr>
        <w:spacing w:after="200" w:line="280" w:lineRule="auto"/>
        <w:jc w:val="both"/>
        <w:rPr>
          <w:rFonts w:ascii="Poppins Light" w:hAnsi="Poppins Light" w:cs="Poppins Light"/>
          <w:color w:val="000000"/>
          <w:sz w:val="18"/>
          <w:szCs w:val="18"/>
        </w:rPr>
      </w:pPr>
      <w:r>
        <w:rPr>
          <w:rFonts w:ascii="Poppins Light" w:hAnsi="Poppins Light" w:cs="Poppins Light"/>
          <w:b/>
          <w:bCs/>
          <w:color w:val="1A1A1A"/>
          <w:sz w:val="18"/>
          <w:szCs w:val="18"/>
        </w:rPr>
        <w:t xml:space="preserve">Jena, </w:t>
      </w:r>
      <w:r w:rsidR="0039466C">
        <w:rPr>
          <w:rFonts w:ascii="Poppins Light" w:hAnsi="Poppins Light" w:cs="Poppins Light"/>
          <w:b/>
          <w:bCs/>
          <w:color w:val="1A1A1A"/>
          <w:sz w:val="18"/>
          <w:szCs w:val="18"/>
        </w:rPr>
        <w:t>19</w:t>
      </w:r>
      <w:r>
        <w:rPr>
          <w:rFonts w:ascii="Poppins Light" w:hAnsi="Poppins Light" w:cs="Poppins Light"/>
          <w:b/>
          <w:bCs/>
          <w:color w:val="1A1A1A"/>
          <w:sz w:val="18"/>
          <w:szCs w:val="18"/>
        </w:rPr>
        <w:t xml:space="preserve">. </w:t>
      </w:r>
      <w:r w:rsidR="0039466C">
        <w:rPr>
          <w:rFonts w:ascii="Poppins Light" w:hAnsi="Poppins Light" w:cs="Poppins Light"/>
          <w:b/>
          <w:bCs/>
          <w:color w:val="1A1A1A"/>
          <w:sz w:val="18"/>
          <w:szCs w:val="18"/>
        </w:rPr>
        <w:t>Mai</w:t>
      </w:r>
      <w:r>
        <w:rPr>
          <w:rFonts w:ascii="Poppins Light" w:hAnsi="Poppins Light" w:cs="Poppins Light"/>
          <w:b/>
          <w:bCs/>
          <w:color w:val="1A1A1A"/>
          <w:sz w:val="18"/>
          <w:szCs w:val="18"/>
        </w:rPr>
        <w:t xml:space="preserve"> 2026 –</w:t>
      </w:r>
      <w:r w:rsidR="0039466C">
        <w:rPr>
          <w:rFonts w:ascii="Poppins Light" w:hAnsi="Poppins Light" w:cs="Poppins Light"/>
          <w:b/>
          <w:bCs/>
          <w:color w:val="1A1A1A"/>
          <w:sz w:val="18"/>
          <w:szCs w:val="18"/>
        </w:rPr>
        <w:t xml:space="preserve"> </w:t>
      </w:r>
      <w:r w:rsidR="0039466C" w:rsidRPr="0039466C">
        <w:rPr>
          <w:rFonts w:ascii="Poppins Light" w:hAnsi="Poppins Light" w:cs="Poppins Light"/>
          <w:color w:val="000000"/>
          <w:sz w:val="18"/>
          <w:szCs w:val="18"/>
        </w:rPr>
        <w:t xml:space="preserve">Die Enginsight GmbH stellt mit dem neuen </w:t>
      </w:r>
      <w:hyperlink r:id="rId10" w:history="1">
        <w:r w:rsidR="0039466C" w:rsidRPr="006D5582">
          <w:rPr>
            <w:rStyle w:val="Hyperlink"/>
            <w:rFonts w:ascii="Poppins Light" w:hAnsi="Poppins Light" w:cs="Poppins Light"/>
            <w:b/>
            <w:bCs/>
            <w:sz w:val="18"/>
            <w:szCs w:val="18"/>
          </w:rPr>
          <w:t>NIS2 Readiness Check</w:t>
        </w:r>
      </w:hyperlink>
      <w:r w:rsidR="0039466C" w:rsidRPr="0039466C">
        <w:rPr>
          <w:rFonts w:ascii="Poppins Light" w:hAnsi="Poppins Light" w:cs="Poppins Light"/>
          <w:color w:val="000000"/>
          <w:sz w:val="18"/>
          <w:szCs w:val="18"/>
        </w:rPr>
        <w:t xml:space="preserve"> ein kompaktes, 100 % anonymes Online-Assessment bereit, das Unternehmen innerhalb von nur acht Minuten eine erste, strukturierte Einschätzung ihrer NIS2</w:t>
      </w:r>
      <w:r w:rsidR="0039466C" w:rsidRPr="0039466C">
        <w:rPr>
          <w:rFonts w:ascii="Poppins Light" w:hAnsi="Poppins Light" w:cs="Poppins Light"/>
          <w:color w:val="000000"/>
          <w:sz w:val="18"/>
          <w:szCs w:val="18"/>
        </w:rPr>
        <w:noBreakHyphen/>
        <w:t xml:space="preserve">Umsetzungsfähigkeit liefert. Das Tool richtet sich an Organisationen aller Branchen, die schnell und pragmatisch verstehen wollen, wo sie im Vergleich zur eigenen Branche stehen, und welche Schritte als nächstes notwendig sind. </w:t>
      </w:r>
    </w:p>
    <w:p w14:paraId="64690203" w14:textId="51FF8010" w:rsidR="0039466C" w:rsidRPr="0039466C" w:rsidRDefault="0039466C" w:rsidP="00A71789">
      <w:pPr>
        <w:spacing w:after="200" w:line="280" w:lineRule="auto"/>
        <w:rPr>
          <w:rFonts w:ascii="Poppins Medium" w:hAnsi="Poppins Medium" w:cs="Poppins Medium"/>
          <w:caps/>
          <w:color w:val="1A1A1A"/>
          <w:sz w:val="30"/>
          <w:szCs w:val="30"/>
        </w:rPr>
      </w:pPr>
      <w:r w:rsidRPr="0039466C">
        <w:rPr>
          <w:rFonts w:ascii="Poppins Medium" w:hAnsi="Poppins Medium" w:cs="Poppins Medium"/>
          <w:caps/>
          <w:color w:val="1A1A1A"/>
          <w:sz w:val="30"/>
          <w:szCs w:val="30"/>
        </w:rPr>
        <w:t xml:space="preserve">Sieben </w:t>
      </w:r>
      <w:r w:rsidRPr="0039466C">
        <w:rPr>
          <w:rFonts w:ascii="Poppins Medium" w:hAnsi="Poppins Medium" w:cs="Poppins Medium"/>
          <w:caps/>
          <w:color w:val="1A1A1A"/>
          <w:sz w:val="30"/>
          <w:szCs w:val="30"/>
        </w:rPr>
        <w:t>Kategorien - klare Standortbestimmung</w:t>
      </w:r>
    </w:p>
    <w:p w14:paraId="02F5B751" w14:textId="54B8CCEA" w:rsidR="008E3AAC" w:rsidRDefault="0039466C" w:rsidP="008E3AAC">
      <w:pPr>
        <w:spacing w:after="160" w:line="280" w:lineRule="auto"/>
        <w:jc w:val="both"/>
        <w:rPr>
          <w:rFonts w:ascii="Poppins Light" w:hAnsi="Poppins Light" w:cs="Poppins Light"/>
          <w:color w:val="000000"/>
          <w:sz w:val="18"/>
          <w:szCs w:val="18"/>
        </w:rPr>
      </w:pPr>
      <w:r w:rsidRPr="0039466C">
        <w:rPr>
          <w:rFonts w:ascii="Poppins Light" w:hAnsi="Poppins Light" w:cs="Poppins Light"/>
          <w:color w:val="000000"/>
          <w:sz w:val="18"/>
          <w:szCs w:val="18"/>
        </w:rPr>
        <w:t>Der NIS2 Readiness Check bewertet den aktuellen Stand der IT-Sicherheitsmaßnahmen anhand von sieben zentralen Kategorien, die direkt aus den Anforderungen der NIS2</w:t>
      </w:r>
      <w:r w:rsidRPr="0039466C">
        <w:rPr>
          <w:rFonts w:ascii="Poppins Light" w:hAnsi="Poppins Light" w:cs="Poppins Light"/>
          <w:color w:val="000000"/>
          <w:sz w:val="18"/>
          <w:szCs w:val="18"/>
        </w:rPr>
        <w:noBreakHyphen/>
        <w:t>Richtlinie abgeleitet sind, darunter:</w:t>
      </w:r>
    </w:p>
    <w:p w14:paraId="72DF939D" w14:textId="2273CE1D" w:rsidR="008E3AAC" w:rsidRDefault="008E3AAC" w:rsidP="008E3AAC">
      <w:pPr>
        <w:spacing w:after="100" w:line="280" w:lineRule="auto"/>
        <w:ind w:left="567" w:hanging="283"/>
      </w:pPr>
      <w:r>
        <w:rPr>
          <w:rFonts w:ascii="Poppins Medium" w:hAnsi="Poppins Medium" w:cs="Poppins Medium"/>
          <w:color w:val="E91E63"/>
          <w:sz w:val="18"/>
          <w:szCs w:val="18"/>
        </w:rPr>
        <w:t xml:space="preserve">•   </w:t>
      </w:r>
      <w:proofErr w:type="spellStart"/>
      <w:r w:rsidRPr="0039466C">
        <w:rPr>
          <w:rFonts w:ascii="Poppins Light" w:hAnsi="Poppins Light" w:cs="Poppins Light"/>
          <w:color w:val="000000"/>
          <w:sz w:val="18"/>
          <w:szCs w:val="18"/>
        </w:rPr>
        <w:t>Governance</w:t>
      </w:r>
      <w:proofErr w:type="spellEnd"/>
      <w:r>
        <w:rPr>
          <w:rFonts w:ascii="Poppins Light" w:hAnsi="Poppins Light" w:cs="Poppins Light"/>
          <w:color w:val="000000"/>
          <w:sz w:val="18"/>
          <w:szCs w:val="18"/>
        </w:rPr>
        <w:t xml:space="preserve"> </w:t>
      </w:r>
      <w:r w:rsidRPr="0039466C">
        <w:rPr>
          <w:rFonts w:ascii="Poppins Light" w:hAnsi="Poppins Light" w:cs="Poppins Light"/>
          <w:color w:val="000000"/>
          <w:sz w:val="18"/>
          <w:szCs w:val="18"/>
        </w:rPr>
        <w:t>&amp; Management</w:t>
      </w:r>
      <w:r w:rsidRPr="0039466C">
        <w:rPr>
          <w:rFonts w:ascii="Poppins Light" w:hAnsi="Poppins Light" w:cs="Poppins Light"/>
          <w:color w:val="000000"/>
          <w:sz w:val="18"/>
          <w:szCs w:val="18"/>
        </w:rPr>
        <w:noBreakHyphen/>
        <w:t>Reporting</w:t>
      </w:r>
    </w:p>
    <w:p w14:paraId="062ED165" w14:textId="14BC63BF" w:rsidR="008E3AAC" w:rsidRDefault="008E3AAC" w:rsidP="008E3AAC">
      <w:pPr>
        <w:spacing w:after="100" w:line="280" w:lineRule="auto"/>
        <w:ind w:left="567" w:hanging="283"/>
      </w:pPr>
      <w:r>
        <w:rPr>
          <w:rFonts w:ascii="Poppins Medium" w:hAnsi="Poppins Medium" w:cs="Poppins Medium"/>
          <w:color w:val="E91E63"/>
          <w:sz w:val="18"/>
          <w:szCs w:val="18"/>
        </w:rPr>
        <w:t xml:space="preserve">•   </w:t>
      </w:r>
      <w:r w:rsidRPr="0039466C">
        <w:rPr>
          <w:rFonts w:ascii="Poppins Light" w:hAnsi="Poppins Light" w:cs="Poppins Light"/>
          <w:color w:val="000000"/>
          <w:sz w:val="18"/>
          <w:szCs w:val="18"/>
        </w:rPr>
        <w:t>Angriffserkennung</w:t>
      </w:r>
    </w:p>
    <w:p w14:paraId="4D23BD9F" w14:textId="1C05E859" w:rsidR="008E3AAC" w:rsidRPr="001B2EB0" w:rsidRDefault="008E3AAC" w:rsidP="008E3AAC">
      <w:pPr>
        <w:spacing w:after="100" w:line="280" w:lineRule="auto"/>
        <w:ind w:left="567" w:hanging="283"/>
        <w:rPr>
          <w:rFonts w:ascii="Poppins Light" w:hAnsi="Poppins Light" w:cs="Poppins Light"/>
          <w:color w:val="000000"/>
          <w:sz w:val="18"/>
          <w:szCs w:val="18"/>
        </w:rPr>
      </w:pPr>
      <w:r>
        <w:rPr>
          <w:rFonts w:ascii="Poppins Medium" w:hAnsi="Poppins Medium" w:cs="Poppins Medium"/>
          <w:color w:val="E91E63"/>
          <w:sz w:val="18"/>
          <w:szCs w:val="18"/>
        </w:rPr>
        <w:t xml:space="preserve">•   </w:t>
      </w:r>
      <w:r w:rsidRPr="0039466C">
        <w:rPr>
          <w:rFonts w:ascii="Poppins Light" w:hAnsi="Poppins Light" w:cs="Poppins Light"/>
          <w:color w:val="000000"/>
          <w:sz w:val="18"/>
          <w:szCs w:val="18"/>
        </w:rPr>
        <w:t xml:space="preserve">Backup &amp; </w:t>
      </w:r>
      <w:proofErr w:type="spellStart"/>
      <w:r w:rsidRPr="0039466C">
        <w:rPr>
          <w:rFonts w:ascii="Poppins Light" w:hAnsi="Poppins Light" w:cs="Poppins Light"/>
          <w:color w:val="000000"/>
          <w:sz w:val="18"/>
          <w:szCs w:val="18"/>
        </w:rPr>
        <w:t>Disaster</w:t>
      </w:r>
      <w:proofErr w:type="spellEnd"/>
      <w:r w:rsidRPr="0039466C">
        <w:rPr>
          <w:rFonts w:ascii="Poppins Light" w:hAnsi="Poppins Light" w:cs="Poppins Light"/>
          <w:color w:val="000000"/>
          <w:sz w:val="18"/>
          <w:szCs w:val="18"/>
        </w:rPr>
        <w:t xml:space="preserve"> Recovery</w:t>
      </w:r>
    </w:p>
    <w:p w14:paraId="6F2E63DC" w14:textId="639C8E4D" w:rsidR="008E3AAC" w:rsidRDefault="008E3AAC" w:rsidP="008E3AAC">
      <w:pPr>
        <w:spacing w:after="100" w:line="280" w:lineRule="auto"/>
        <w:ind w:left="567" w:hanging="283"/>
        <w:rPr>
          <w:rFonts w:ascii="Poppins Light" w:hAnsi="Poppins Light" w:cs="Poppins Light"/>
          <w:color w:val="000000"/>
          <w:sz w:val="18"/>
          <w:szCs w:val="18"/>
        </w:rPr>
      </w:pPr>
      <w:r>
        <w:rPr>
          <w:rFonts w:ascii="Poppins Medium" w:hAnsi="Poppins Medium" w:cs="Poppins Medium"/>
          <w:color w:val="E91E63"/>
          <w:sz w:val="18"/>
          <w:szCs w:val="18"/>
        </w:rPr>
        <w:t xml:space="preserve">•   </w:t>
      </w:r>
      <w:proofErr w:type="spellStart"/>
      <w:r w:rsidRPr="0039466C">
        <w:rPr>
          <w:rFonts w:ascii="Poppins Light" w:hAnsi="Poppins Light" w:cs="Poppins Light"/>
          <w:color w:val="000000"/>
          <w:sz w:val="18"/>
          <w:szCs w:val="18"/>
        </w:rPr>
        <w:t>Incident</w:t>
      </w:r>
      <w:proofErr w:type="spellEnd"/>
      <w:r w:rsidRPr="0039466C">
        <w:rPr>
          <w:rFonts w:ascii="Poppins Light" w:hAnsi="Poppins Light" w:cs="Poppins Light"/>
          <w:color w:val="000000"/>
          <w:sz w:val="18"/>
          <w:szCs w:val="18"/>
        </w:rPr>
        <w:t xml:space="preserve"> Response</w:t>
      </w:r>
      <w:r w:rsidRPr="0039466C">
        <w:rPr>
          <w:rFonts w:ascii="Poppins Light" w:hAnsi="Poppins Light" w:cs="Poppins Light"/>
          <w:color w:val="000000"/>
          <w:sz w:val="18"/>
          <w:szCs w:val="18"/>
        </w:rPr>
        <w:noBreakHyphen/>
        <w:t>Vorbereitung</w:t>
      </w:r>
    </w:p>
    <w:p w14:paraId="14ACD0DC" w14:textId="77777777" w:rsidR="008E3AAC" w:rsidRDefault="008E3AAC" w:rsidP="008E3AAC">
      <w:pPr>
        <w:spacing w:after="100" w:line="280" w:lineRule="auto"/>
        <w:ind w:left="567" w:hanging="283"/>
        <w:rPr>
          <w:rFonts w:ascii="Poppins Medium" w:hAnsi="Poppins Medium" w:cs="Poppins Medium"/>
          <w:color w:val="E91E63"/>
          <w:sz w:val="18"/>
          <w:szCs w:val="18"/>
        </w:rPr>
      </w:pPr>
      <w:r>
        <w:rPr>
          <w:rFonts w:ascii="Poppins Medium" w:hAnsi="Poppins Medium" w:cs="Poppins Medium"/>
          <w:color w:val="E91E63"/>
          <w:sz w:val="18"/>
          <w:szCs w:val="18"/>
        </w:rPr>
        <w:t xml:space="preserve">•   </w:t>
      </w:r>
      <w:r w:rsidRPr="0039466C">
        <w:rPr>
          <w:rFonts w:ascii="Poppins Light" w:hAnsi="Poppins Light" w:cs="Poppins Light"/>
          <w:color w:val="000000"/>
          <w:sz w:val="18"/>
          <w:szCs w:val="18"/>
        </w:rPr>
        <w:t>Schulungen &amp; Awareness</w:t>
      </w:r>
      <w:r>
        <w:rPr>
          <w:rFonts w:ascii="Poppins Medium" w:hAnsi="Poppins Medium" w:cs="Poppins Medium"/>
          <w:color w:val="E91E63"/>
          <w:sz w:val="18"/>
          <w:szCs w:val="18"/>
        </w:rPr>
        <w:t xml:space="preserve"> </w:t>
      </w:r>
    </w:p>
    <w:p w14:paraId="12625798" w14:textId="494D37D4" w:rsidR="008E3AAC" w:rsidRPr="001B2EB0" w:rsidRDefault="008E3AAC" w:rsidP="008E3AAC">
      <w:pPr>
        <w:spacing w:after="100" w:line="280" w:lineRule="auto"/>
        <w:ind w:left="567" w:hanging="283"/>
        <w:rPr>
          <w:rFonts w:ascii="Poppins Light" w:hAnsi="Poppins Light" w:cs="Poppins Light"/>
          <w:color w:val="000000"/>
          <w:sz w:val="18"/>
          <w:szCs w:val="18"/>
        </w:rPr>
      </w:pPr>
      <w:r>
        <w:rPr>
          <w:rFonts w:ascii="Poppins Medium" w:hAnsi="Poppins Medium" w:cs="Poppins Medium"/>
          <w:color w:val="E91E63"/>
          <w:sz w:val="18"/>
          <w:szCs w:val="18"/>
        </w:rPr>
        <w:t xml:space="preserve">•   </w:t>
      </w:r>
      <w:r w:rsidRPr="0039466C">
        <w:rPr>
          <w:rFonts w:ascii="Poppins Light" w:hAnsi="Poppins Light" w:cs="Poppins Light"/>
          <w:color w:val="000000"/>
          <w:sz w:val="18"/>
          <w:szCs w:val="18"/>
        </w:rPr>
        <w:t>Technische Schutzmaßnahmen</w:t>
      </w:r>
    </w:p>
    <w:p w14:paraId="0C914F2F" w14:textId="6E75D388" w:rsidR="00A71789" w:rsidRDefault="0039466C" w:rsidP="008E3AAC">
      <w:pPr>
        <w:spacing w:after="100" w:line="280" w:lineRule="auto"/>
        <w:rPr>
          <w:rFonts w:ascii="Poppins Light" w:hAnsi="Poppins Light" w:cs="Poppins Light"/>
          <w:caps/>
          <w:color w:val="000000"/>
          <w:sz w:val="30"/>
          <w:szCs w:val="30"/>
        </w:rPr>
      </w:pPr>
      <w:r w:rsidRPr="0039466C">
        <w:rPr>
          <w:rFonts w:ascii="Poppins Light" w:hAnsi="Poppins Light" w:cs="Poppins Light"/>
          <w:color w:val="000000"/>
          <w:sz w:val="18"/>
          <w:szCs w:val="18"/>
        </w:rPr>
        <w:t xml:space="preserve">Jede Kategorie wird anhand klarer, praxisnaher Fragen bewertet, beispielsweise zu dokumentierten Risikoanalysen, etablierten Meldewegen, regelmäßigen Restore Tests oder dem Stand von Schulungsmaßnahmen. </w:t>
      </w:r>
    </w:p>
    <w:p w14:paraId="64742484" w14:textId="50A2B1F1" w:rsidR="0039466C" w:rsidRPr="00A71789" w:rsidRDefault="0039466C" w:rsidP="00A71789">
      <w:pPr>
        <w:spacing w:after="280" w:line="280" w:lineRule="auto"/>
        <w:rPr>
          <w:rFonts w:ascii="Poppins Light" w:hAnsi="Poppins Light" w:cs="Poppins Light"/>
          <w:caps/>
          <w:color w:val="000000"/>
          <w:sz w:val="30"/>
          <w:szCs w:val="30"/>
        </w:rPr>
      </w:pPr>
      <w:r w:rsidRPr="00A71789">
        <w:rPr>
          <w:rFonts w:ascii="Poppins Light" w:hAnsi="Poppins Light" w:cs="Poppins Light"/>
          <w:caps/>
          <w:color w:val="000000"/>
          <w:sz w:val="30"/>
          <w:szCs w:val="30"/>
        </w:rPr>
        <w:t>Konkrete Ergebnisse statt abstrakter Theorie</w:t>
      </w:r>
    </w:p>
    <w:p w14:paraId="56A9CFDE" w14:textId="77777777" w:rsidR="0039466C" w:rsidRPr="0039466C" w:rsidRDefault="0039466C" w:rsidP="0039466C">
      <w:pPr>
        <w:spacing w:after="280" w:line="280" w:lineRule="auto"/>
        <w:jc w:val="both"/>
        <w:rPr>
          <w:rFonts w:ascii="Poppins Light" w:hAnsi="Poppins Light" w:cs="Poppins Light"/>
          <w:color w:val="000000"/>
          <w:sz w:val="18"/>
          <w:szCs w:val="18"/>
        </w:rPr>
      </w:pPr>
      <w:r w:rsidRPr="0039466C">
        <w:rPr>
          <w:rFonts w:ascii="Poppins Light" w:hAnsi="Poppins Light" w:cs="Poppins Light"/>
          <w:color w:val="000000"/>
          <w:sz w:val="18"/>
          <w:szCs w:val="18"/>
        </w:rPr>
        <w:t xml:space="preserve">Auf Basis der Antworten erhalten Unternehmen einen </w:t>
      </w:r>
      <w:r w:rsidRPr="0039466C">
        <w:rPr>
          <w:rFonts w:ascii="Poppins Light" w:hAnsi="Poppins Light" w:cs="Poppins Light"/>
          <w:b/>
          <w:bCs/>
          <w:color w:val="000000"/>
          <w:sz w:val="18"/>
          <w:szCs w:val="18"/>
        </w:rPr>
        <w:t>verständlich aufbereiteten Ergebnisbericht</w:t>
      </w:r>
      <w:r w:rsidRPr="0039466C">
        <w:rPr>
          <w:rFonts w:ascii="Poppins Light" w:hAnsi="Poppins Light" w:cs="Poppins Light"/>
          <w:color w:val="000000"/>
          <w:sz w:val="18"/>
          <w:szCs w:val="18"/>
        </w:rPr>
        <w:t>, der Folgendes umfasst:</w:t>
      </w:r>
    </w:p>
    <w:p w14:paraId="4B98516A" w14:textId="77777777" w:rsidR="0039466C" w:rsidRPr="0039466C" w:rsidRDefault="0039466C" w:rsidP="0039466C">
      <w:pPr>
        <w:spacing w:after="280" w:line="280" w:lineRule="auto"/>
        <w:jc w:val="both"/>
        <w:rPr>
          <w:rFonts w:ascii="Poppins Light" w:hAnsi="Poppins Light" w:cs="Poppins Light"/>
          <w:b/>
          <w:bCs/>
          <w:color w:val="000000"/>
          <w:sz w:val="18"/>
          <w:szCs w:val="18"/>
        </w:rPr>
      </w:pPr>
      <w:r w:rsidRPr="0039466C">
        <w:rPr>
          <w:rFonts w:ascii="Poppins Light" w:hAnsi="Poppins Light" w:cs="Poppins Light"/>
          <w:b/>
          <w:bCs/>
          <w:color w:val="000000"/>
          <w:sz w:val="18"/>
          <w:szCs w:val="18"/>
        </w:rPr>
        <w:t>1. Reifegrad Benchmarking</w:t>
      </w:r>
    </w:p>
    <w:p w14:paraId="3FF74974" w14:textId="66358976" w:rsidR="0039466C" w:rsidRPr="0039466C" w:rsidRDefault="0039466C" w:rsidP="0039466C">
      <w:pPr>
        <w:spacing w:after="280" w:line="280" w:lineRule="auto"/>
        <w:jc w:val="both"/>
        <w:rPr>
          <w:rFonts w:ascii="Poppins Light" w:hAnsi="Poppins Light" w:cs="Poppins Light"/>
          <w:color w:val="000000"/>
          <w:sz w:val="18"/>
          <w:szCs w:val="18"/>
        </w:rPr>
      </w:pPr>
      <w:r w:rsidRPr="0039466C">
        <w:rPr>
          <w:rFonts w:ascii="Poppins Light" w:hAnsi="Poppins Light" w:cs="Poppins Light"/>
          <w:color w:val="000000"/>
          <w:sz w:val="18"/>
          <w:szCs w:val="18"/>
        </w:rPr>
        <w:t xml:space="preserve">Das Tool ordnet die eigenen Ergebnisse in Relation zu anderen Unternehmen der Branche ein, und ermöglicht damit eine realistische Einschätzung des Sicherheitsniveaus. </w:t>
      </w:r>
    </w:p>
    <w:p w14:paraId="0CC9CEB2" w14:textId="77777777" w:rsidR="0039466C" w:rsidRPr="0039466C" w:rsidRDefault="0039466C" w:rsidP="0039466C">
      <w:pPr>
        <w:spacing w:after="280" w:line="280" w:lineRule="auto"/>
        <w:jc w:val="both"/>
        <w:rPr>
          <w:rFonts w:ascii="Poppins Light" w:hAnsi="Poppins Light" w:cs="Poppins Light"/>
          <w:b/>
          <w:bCs/>
          <w:color w:val="000000"/>
          <w:sz w:val="18"/>
          <w:szCs w:val="18"/>
        </w:rPr>
      </w:pPr>
      <w:r w:rsidRPr="0039466C">
        <w:rPr>
          <w:rFonts w:ascii="Poppins Light" w:hAnsi="Poppins Light" w:cs="Poppins Light"/>
          <w:b/>
          <w:bCs/>
          <w:color w:val="000000"/>
          <w:sz w:val="18"/>
          <w:szCs w:val="18"/>
        </w:rPr>
        <w:lastRenderedPageBreak/>
        <w:t>2. Top drei Sofortmaßnahmen mit Zeitplan</w:t>
      </w:r>
    </w:p>
    <w:p w14:paraId="350B3731" w14:textId="77777777" w:rsidR="0039466C" w:rsidRPr="0039466C" w:rsidRDefault="0039466C" w:rsidP="0039466C">
      <w:pPr>
        <w:spacing w:after="280" w:line="280" w:lineRule="auto"/>
        <w:jc w:val="both"/>
        <w:rPr>
          <w:rFonts w:ascii="Poppins Light" w:hAnsi="Poppins Light" w:cs="Poppins Light"/>
          <w:color w:val="000000"/>
          <w:sz w:val="18"/>
          <w:szCs w:val="18"/>
        </w:rPr>
      </w:pPr>
      <w:r w:rsidRPr="0039466C">
        <w:rPr>
          <w:rFonts w:ascii="Poppins Light" w:hAnsi="Poppins Light" w:cs="Poppins Light"/>
          <w:color w:val="000000"/>
          <w:sz w:val="18"/>
          <w:szCs w:val="18"/>
        </w:rPr>
        <w:t xml:space="preserve">Für jede Organisation werden drei priorisierte Handlungsempfehlungen inklusive eines groben zeitlichen Rahmens vorgeschlagen, etwa zur Einführung regelmäßiger Audits, zur Professionalisierung des Notfallmanagements oder zur Festlegung von Reporting Strukturen. </w:t>
      </w:r>
    </w:p>
    <w:p w14:paraId="0A5112F1" w14:textId="77777777" w:rsidR="0039466C" w:rsidRPr="0039466C" w:rsidRDefault="0039466C" w:rsidP="0039466C">
      <w:pPr>
        <w:spacing w:after="280" w:line="280" w:lineRule="auto"/>
        <w:jc w:val="both"/>
        <w:rPr>
          <w:rFonts w:ascii="Poppins Light" w:hAnsi="Poppins Light" w:cs="Poppins Light"/>
          <w:b/>
          <w:bCs/>
          <w:color w:val="000000"/>
          <w:sz w:val="18"/>
          <w:szCs w:val="18"/>
        </w:rPr>
      </w:pPr>
      <w:r w:rsidRPr="0039466C">
        <w:rPr>
          <w:rFonts w:ascii="Poppins Light" w:hAnsi="Poppins Light" w:cs="Poppins Light"/>
          <w:b/>
          <w:bCs/>
          <w:color w:val="000000"/>
          <w:sz w:val="18"/>
          <w:szCs w:val="18"/>
        </w:rPr>
        <w:t xml:space="preserve">3. </w:t>
      </w:r>
      <w:proofErr w:type="spellStart"/>
      <w:proofErr w:type="gramStart"/>
      <w:r w:rsidRPr="0039466C">
        <w:rPr>
          <w:rFonts w:ascii="Poppins Light" w:hAnsi="Poppins Light" w:cs="Poppins Light"/>
          <w:b/>
          <w:bCs/>
          <w:color w:val="000000"/>
          <w:sz w:val="18"/>
          <w:szCs w:val="18"/>
        </w:rPr>
        <w:t>RoSI</w:t>
      </w:r>
      <w:proofErr w:type="spellEnd"/>
      <w:r w:rsidRPr="0039466C">
        <w:rPr>
          <w:rFonts w:ascii="Poppins Light" w:hAnsi="Poppins Light" w:cs="Poppins Light"/>
          <w:b/>
          <w:bCs/>
          <w:color w:val="000000"/>
          <w:sz w:val="18"/>
          <w:szCs w:val="18"/>
        </w:rPr>
        <w:t xml:space="preserve"> Berechnung</w:t>
      </w:r>
      <w:proofErr w:type="gramEnd"/>
      <w:r w:rsidRPr="0039466C">
        <w:rPr>
          <w:rFonts w:ascii="Poppins Light" w:hAnsi="Poppins Light" w:cs="Poppins Light"/>
          <w:b/>
          <w:bCs/>
          <w:color w:val="000000"/>
          <w:sz w:val="18"/>
          <w:szCs w:val="18"/>
        </w:rPr>
        <w:t xml:space="preserve"> &amp; </w:t>
      </w:r>
      <w:proofErr w:type="spellStart"/>
      <w:r w:rsidRPr="0039466C">
        <w:rPr>
          <w:rFonts w:ascii="Poppins Light" w:hAnsi="Poppins Light" w:cs="Poppins Light"/>
          <w:b/>
          <w:bCs/>
          <w:color w:val="000000"/>
          <w:sz w:val="18"/>
          <w:szCs w:val="18"/>
        </w:rPr>
        <w:t>Strafenpotenzial</w:t>
      </w:r>
      <w:proofErr w:type="spellEnd"/>
    </w:p>
    <w:p w14:paraId="63506D9B" w14:textId="77777777" w:rsidR="0039466C" w:rsidRDefault="0039466C" w:rsidP="0039466C">
      <w:pPr>
        <w:spacing w:after="280" w:line="280" w:lineRule="auto"/>
        <w:jc w:val="both"/>
        <w:rPr>
          <w:rFonts w:ascii="Poppins Light" w:hAnsi="Poppins Light" w:cs="Poppins Light"/>
          <w:color w:val="000000"/>
          <w:sz w:val="18"/>
          <w:szCs w:val="18"/>
        </w:rPr>
      </w:pPr>
      <w:r w:rsidRPr="0039466C">
        <w:rPr>
          <w:rFonts w:ascii="Poppins Light" w:hAnsi="Poppins Light" w:cs="Poppins Light"/>
          <w:color w:val="000000"/>
          <w:sz w:val="18"/>
          <w:szCs w:val="18"/>
        </w:rPr>
        <w:t>Der Bericht schätzt potenzielle Kosten und wirtschaftliche Auswirkungen ab, darunter:</w:t>
      </w:r>
    </w:p>
    <w:p w14:paraId="47C89833" w14:textId="01AF662F" w:rsidR="008E3AAC" w:rsidRDefault="008E3AAC" w:rsidP="008E3AAC">
      <w:pPr>
        <w:spacing w:after="100" w:line="280" w:lineRule="auto"/>
        <w:ind w:left="567" w:hanging="283"/>
      </w:pPr>
      <w:r>
        <w:rPr>
          <w:rFonts w:ascii="Poppins Medium" w:hAnsi="Poppins Medium" w:cs="Poppins Medium"/>
          <w:color w:val="E91E63"/>
          <w:sz w:val="18"/>
          <w:szCs w:val="18"/>
        </w:rPr>
        <w:t xml:space="preserve">•   </w:t>
      </w:r>
      <w:r w:rsidRPr="0039466C">
        <w:rPr>
          <w:rFonts w:ascii="Poppins Light" w:hAnsi="Poppins Light" w:cs="Poppins Light"/>
          <w:b/>
          <w:bCs/>
          <w:color w:val="000000"/>
          <w:sz w:val="18"/>
          <w:szCs w:val="18"/>
          <w:lang w:val="en-US"/>
        </w:rPr>
        <w:t>Return on Security Investment (</w:t>
      </w:r>
      <w:proofErr w:type="spellStart"/>
      <w:r w:rsidRPr="0039466C">
        <w:rPr>
          <w:rFonts w:ascii="Poppins Light" w:hAnsi="Poppins Light" w:cs="Poppins Light"/>
          <w:b/>
          <w:bCs/>
          <w:color w:val="000000"/>
          <w:sz w:val="18"/>
          <w:szCs w:val="18"/>
          <w:lang w:val="en-US"/>
        </w:rPr>
        <w:t>RoSI</w:t>
      </w:r>
      <w:proofErr w:type="spellEnd"/>
      <w:r w:rsidRPr="0039466C">
        <w:rPr>
          <w:rFonts w:ascii="Poppins Light" w:hAnsi="Poppins Light" w:cs="Poppins Light"/>
          <w:b/>
          <w:bCs/>
          <w:color w:val="000000"/>
          <w:sz w:val="18"/>
          <w:szCs w:val="18"/>
          <w:lang w:val="en-US"/>
        </w:rPr>
        <w:t>)</w:t>
      </w:r>
    </w:p>
    <w:p w14:paraId="7583B923" w14:textId="5B578E72" w:rsidR="008E3AAC" w:rsidRDefault="008E3AAC" w:rsidP="008E3AAC">
      <w:pPr>
        <w:spacing w:after="100" w:line="280" w:lineRule="auto"/>
        <w:ind w:left="567" w:hanging="283"/>
      </w:pPr>
      <w:r>
        <w:rPr>
          <w:rFonts w:ascii="Poppins Medium" w:hAnsi="Poppins Medium" w:cs="Poppins Medium"/>
          <w:color w:val="E91E63"/>
          <w:sz w:val="18"/>
          <w:szCs w:val="18"/>
        </w:rPr>
        <w:t xml:space="preserve">•   </w:t>
      </w:r>
      <w:r w:rsidRPr="0039466C">
        <w:rPr>
          <w:rFonts w:ascii="Poppins Light" w:hAnsi="Poppins Light" w:cs="Poppins Light"/>
          <w:b/>
          <w:bCs/>
          <w:color w:val="000000"/>
          <w:sz w:val="18"/>
          <w:szCs w:val="18"/>
        </w:rPr>
        <w:t>Break Even</w:t>
      </w:r>
      <w:r w:rsidRPr="0039466C">
        <w:rPr>
          <w:rFonts w:ascii="Poppins Light" w:hAnsi="Poppins Light" w:cs="Poppins Light"/>
          <w:b/>
          <w:bCs/>
          <w:color w:val="000000"/>
          <w:sz w:val="18"/>
          <w:szCs w:val="18"/>
        </w:rPr>
        <w:noBreakHyphen/>
        <w:t>Betrachtungen</w:t>
      </w:r>
    </w:p>
    <w:p w14:paraId="1A8F2D07" w14:textId="0D5D9DC0" w:rsidR="0039466C" w:rsidRPr="0039466C" w:rsidRDefault="008E3AAC" w:rsidP="008E3AAC">
      <w:pPr>
        <w:spacing w:after="100" w:line="280" w:lineRule="auto"/>
        <w:ind w:left="567" w:hanging="283"/>
        <w:rPr>
          <w:rFonts w:ascii="Poppins Light" w:hAnsi="Poppins Light" w:cs="Poppins Light"/>
          <w:color w:val="000000"/>
          <w:sz w:val="18"/>
          <w:szCs w:val="18"/>
        </w:rPr>
      </w:pPr>
      <w:r>
        <w:rPr>
          <w:rFonts w:ascii="Poppins Medium" w:hAnsi="Poppins Medium" w:cs="Poppins Medium"/>
          <w:color w:val="E91E63"/>
          <w:sz w:val="18"/>
          <w:szCs w:val="18"/>
        </w:rPr>
        <w:t xml:space="preserve">•   </w:t>
      </w:r>
      <w:r w:rsidRPr="0039466C">
        <w:rPr>
          <w:rFonts w:ascii="Poppins Light" w:hAnsi="Poppins Light" w:cs="Poppins Light"/>
          <w:b/>
          <w:bCs/>
          <w:color w:val="000000"/>
          <w:sz w:val="18"/>
          <w:szCs w:val="18"/>
        </w:rPr>
        <w:t>Risiko und Schadenpotenziale im Nicht</w:t>
      </w:r>
      <w:r w:rsidRPr="0039466C">
        <w:rPr>
          <w:rFonts w:ascii="Poppins Light" w:hAnsi="Poppins Light" w:cs="Poppins Light"/>
          <w:b/>
          <w:bCs/>
          <w:color w:val="000000"/>
          <w:sz w:val="18"/>
          <w:szCs w:val="18"/>
        </w:rPr>
        <w:noBreakHyphen/>
        <w:t>Compliance Fall</w:t>
      </w:r>
      <w:r>
        <w:rPr>
          <w:rFonts w:ascii="Poppins Light" w:hAnsi="Poppins Light" w:cs="Poppins Light"/>
          <w:b/>
          <w:bCs/>
          <w:color w:val="000000"/>
          <w:sz w:val="18"/>
          <w:szCs w:val="18"/>
        </w:rPr>
        <w:t xml:space="preserve">: </w:t>
      </w:r>
      <w:r w:rsidR="0039466C" w:rsidRPr="0039466C">
        <w:rPr>
          <w:rFonts w:ascii="Poppins Light" w:hAnsi="Poppins Light" w:cs="Poppins Light"/>
          <w:color w:val="000000"/>
          <w:sz w:val="18"/>
          <w:szCs w:val="18"/>
        </w:rPr>
        <w:t xml:space="preserve">Diese betriebswirtschaftliche Perspektive hilft Entscheidern, Maßnahmen zu priorisieren und zu budgetieren. </w:t>
      </w:r>
    </w:p>
    <w:p w14:paraId="01BF13ED" w14:textId="77777777" w:rsidR="0039466C" w:rsidRPr="00A71789" w:rsidRDefault="0039466C" w:rsidP="00A71789">
      <w:pPr>
        <w:spacing w:after="280" w:line="280" w:lineRule="auto"/>
        <w:rPr>
          <w:rFonts w:ascii="Poppins Light" w:hAnsi="Poppins Light" w:cs="Poppins Light"/>
          <w:caps/>
          <w:color w:val="000000"/>
          <w:sz w:val="30"/>
          <w:szCs w:val="30"/>
        </w:rPr>
      </w:pPr>
      <w:r w:rsidRPr="00A71789">
        <w:rPr>
          <w:rFonts w:ascii="Poppins Light" w:hAnsi="Poppins Light" w:cs="Poppins Light"/>
          <w:caps/>
          <w:color w:val="000000"/>
          <w:sz w:val="30"/>
          <w:szCs w:val="30"/>
        </w:rPr>
        <w:t>Praxisnahe Quick Tipps für jede Frage</w:t>
      </w:r>
    </w:p>
    <w:p w14:paraId="1A6C2F49" w14:textId="77777777" w:rsidR="0039466C" w:rsidRPr="0039466C" w:rsidRDefault="0039466C" w:rsidP="0039466C">
      <w:pPr>
        <w:spacing w:after="280" w:line="280" w:lineRule="auto"/>
        <w:jc w:val="both"/>
        <w:rPr>
          <w:rFonts w:ascii="Poppins Light" w:hAnsi="Poppins Light" w:cs="Poppins Light"/>
          <w:color w:val="000000"/>
          <w:sz w:val="18"/>
          <w:szCs w:val="18"/>
        </w:rPr>
      </w:pPr>
      <w:r w:rsidRPr="0039466C">
        <w:rPr>
          <w:rFonts w:ascii="Poppins Light" w:hAnsi="Poppins Light" w:cs="Poppins Light"/>
          <w:color w:val="000000"/>
          <w:sz w:val="18"/>
          <w:szCs w:val="18"/>
        </w:rPr>
        <w:t xml:space="preserve">Ein besonderes Highlight sind die begleitenden </w:t>
      </w:r>
      <w:r w:rsidRPr="0039466C">
        <w:rPr>
          <w:rFonts w:ascii="Poppins Light" w:hAnsi="Poppins Light" w:cs="Poppins Light"/>
          <w:b/>
          <w:bCs/>
          <w:color w:val="000000"/>
          <w:sz w:val="18"/>
          <w:szCs w:val="18"/>
        </w:rPr>
        <w:t>Quick Tipps</w:t>
      </w:r>
      <w:r w:rsidRPr="0039466C">
        <w:rPr>
          <w:rFonts w:ascii="Poppins Light" w:hAnsi="Poppins Light" w:cs="Poppins Light"/>
          <w:color w:val="000000"/>
          <w:sz w:val="18"/>
          <w:szCs w:val="18"/>
        </w:rPr>
        <w:t>, die für jede Bewertungsfrage praxisnahe Hinweise geben, etwa zur Gestaltung eines effizienten 1</w:t>
      </w:r>
      <w:r w:rsidRPr="0039466C">
        <w:rPr>
          <w:rFonts w:ascii="Poppins Light" w:hAnsi="Poppins Light" w:cs="Poppins Light"/>
          <w:color w:val="000000"/>
          <w:sz w:val="18"/>
          <w:szCs w:val="18"/>
        </w:rPr>
        <w:noBreakHyphen/>
        <w:t xml:space="preserve">Seiten Management </w:t>
      </w:r>
      <w:proofErr w:type="spellStart"/>
      <w:r w:rsidRPr="0039466C">
        <w:rPr>
          <w:rFonts w:ascii="Poppins Light" w:hAnsi="Poppins Light" w:cs="Poppins Light"/>
          <w:color w:val="000000"/>
          <w:sz w:val="18"/>
          <w:szCs w:val="18"/>
        </w:rPr>
        <w:t>Reportings</w:t>
      </w:r>
      <w:proofErr w:type="spellEnd"/>
      <w:r w:rsidRPr="0039466C">
        <w:rPr>
          <w:rFonts w:ascii="Poppins Light" w:hAnsi="Poppins Light" w:cs="Poppins Light"/>
          <w:color w:val="000000"/>
          <w:sz w:val="18"/>
          <w:szCs w:val="18"/>
        </w:rPr>
        <w:t xml:space="preserve">, sinnvollen Kennzahlen (z. B. </w:t>
      </w:r>
      <w:proofErr w:type="spellStart"/>
      <w:r w:rsidRPr="0039466C">
        <w:rPr>
          <w:rFonts w:ascii="Poppins Light" w:hAnsi="Poppins Light" w:cs="Poppins Light"/>
          <w:color w:val="000000"/>
          <w:sz w:val="18"/>
          <w:szCs w:val="18"/>
        </w:rPr>
        <w:t>Patchquote</w:t>
      </w:r>
      <w:proofErr w:type="spellEnd"/>
      <w:r w:rsidRPr="0039466C">
        <w:rPr>
          <w:rFonts w:ascii="Poppins Light" w:hAnsi="Poppins Light" w:cs="Poppins Light"/>
          <w:color w:val="000000"/>
          <w:sz w:val="18"/>
          <w:szCs w:val="18"/>
        </w:rPr>
        <w:t>, MFA</w:t>
      </w:r>
      <w:r w:rsidRPr="0039466C">
        <w:rPr>
          <w:rFonts w:ascii="Poppins Light" w:hAnsi="Poppins Light" w:cs="Poppins Light"/>
          <w:color w:val="000000"/>
          <w:sz w:val="18"/>
          <w:szCs w:val="18"/>
        </w:rPr>
        <w:noBreakHyphen/>
        <w:t>Abdeckung), der Bedeutung von Restore</w:t>
      </w:r>
      <w:r w:rsidRPr="0039466C">
        <w:rPr>
          <w:rFonts w:ascii="Poppins Light" w:hAnsi="Poppins Light" w:cs="Poppins Light"/>
          <w:color w:val="000000"/>
          <w:sz w:val="18"/>
          <w:szCs w:val="18"/>
        </w:rPr>
        <w:noBreakHyphen/>
        <w:t xml:space="preserve">Tests oder zur Ausgestaltung von </w:t>
      </w:r>
      <w:proofErr w:type="spellStart"/>
      <w:r w:rsidRPr="0039466C">
        <w:rPr>
          <w:rFonts w:ascii="Poppins Light" w:hAnsi="Poppins Light" w:cs="Poppins Light"/>
          <w:color w:val="000000"/>
          <w:sz w:val="18"/>
          <w:szCs w:val="18"/>
        </w:rPr>
        <w:t>Incident</w:t>
      </w:r>
      <w:proofErr w:type="spellEnd"/>
      <w:r w:rsidRPr="0039466C">
        <w:rPr>
          <w:rFonts w:ascii="Poppins Light" w:hAnsi="Poppins Light" w:cs="Poppins Light"/>
          <w:color w:val="000000"/>
          <w:sz w:val="18"/>
          <w:szCs w:val="18"/>
        </w:rPr>
        <w:noBreakHyphen/>
        <w:t xml:space="preserve">Response-Plänen. </w:t>
      </w:r>
    </w:p>
    <w:p w14:paraId="435EC23D" w14:textId="77777777" w:rsidR="0039466C" w:rsidRPr="00A71789" w:rsidRDefault="0039466C" w:rsidP="00A71789">
      <w:pPr>
        <w:spacing w:after="280" w:line="280" w:lineRule="auto"/>
        <w:rPr>
          <w:rFonts w:ascii="Poppins Light" w:hAnsi="Poppins Light" w:cs="Poppins Light"/>
          <w:caps/>
          <w:color w:val="000000"/>
          <w:sz w:val="30"/>
          <w:szCs w:val="30"/>
        </w:rPr>
      </w:pPr>
      <w:r w:rsidRPr="00A71789">
        <w:rPr>
          <w:rFonts w:ascii="Poppins Light" w:hAnsi="Poppins Light" w:cs="Poppins Light"/>
          <w:caps/>
          <w:color w:val="000000"/>
          <w:sz w:val="30"/>
          <w:szCs w:val="30"/>
        </w:rPr>
        <w:t>Fokus auf Umsetzbarkeit statt Papier Compliance</w:t>
      </w:r>
    </w:p>
    <w:p w14:paraId="0401F051" w14:textId="254E69EA" w:rsidR="0039466C" w:rsidRPr="0039466C" w:rsidRDefault="0039466C" w:rsidP="0039466C">
      <w:pPr>
        <w:spacing w:after="280" w:line="280" w:lineRule="auto"/>
        <w:jc w:val="both"/>
        <w:rPr>
          <w:rFonts w:ascii="Poppins Light" w:hAnsi="Poppins Light" w:cs="Poppins Light"/>
          <w:color w:val="000000"/>
          <w:sz w:val="18"/>
          <w:szCs w:val="18"/>
        </w:rPr>
      </w:pPr>
      <w:r w:rsidRPr="0039466C">
        <w:rPr>
          <w:rFonts w:ascii="Poppins Light" w:hAnsi="Poppins Light" w:cs="Poppins Light"/>
          <w:color w:val="000000"/>
          <w:sz w:val="18"/>
          <w:szCs w:val="18"/>
        </w:rPr>
        <w:t xml:space="preserve">Die Enginsight Reifeprüfung setzt bewusst auf </w:t>
      </w:r>
      <w:r w:rsidRPr="0039466C">
        <w:rPr>
          <w:rFonts w:ascii="Poppins Light" w:hAnsi="Poppins Light" w:cs="Poppins Light"/>
          <w:b/>
          <w:bCs/>
          <w:color w:val="000000"/>
          <w:sz w:val="18"/>
          <w:szCs w:val="18"/>
        </w:rPr>
        <w:t>klare Handlungsempfehlungen</w:t>
      </w:r>
      <w:r w:rsidRPr="0039466C">
        <w:rPr>
          <w:rFonts w:ascii="Poppins Light" w:hAnsi="Poppins Light" w:cs="Poppins Light"/>
          <w:color w:val="000000"/>
          <w:sz w:val="18"/>
          <w:szCs w:val="18"/>
        </w:rPr>
        <w:t>, um Organisationen den Einstieg in eine nachhaltige NIS2-Umsetzung zu erleichtern. Sie bildet zudem die Grundlage für weiterführende technische Maßnahmen innerhalb der Enginsight Plattform, darunter Asset Discovery, Schwachstellenerkennung, automatisierte Penetrationstests und SIEM-gestützte Angriffserkennung.</w:t>
      </w:r>
    </w:p>
    <w:p w14:paraId="046FB29C" w14:textId="77777777" w:rsidR="00D26455" w:rsidRDefault="00D26455">
      <w:pPr>
        <w:pBdr>
          <w:bottom w:val="single" w:sz="6" w:space="4" w:color="E91E63"/>
        </w:pBdr>
        <w:spacing w:before="120" w:after="240" w:line="280" w:lineRule="auto"/>
      </w:pPr>
    </w:p>
    <w:p w14:paraId="4C23BA8D" w14:textId="77777777" w:rsidR="00D26455" w:rsidRDefault="00000000">
      <w:pPr>
        <w:keepNext/>
        <w:spacing w:before="120" w:after="160" w:line="280" w:lineRule="auto"/>
      </w:pPr>
      <w:r>
        <w:rPr>
          <w:rFonts w:ascii="Poppins Medium" w:hAnsi="Poppins Medium" w:cs="Poppins Medium"/>
          <w:caps/>
          <w:color w:val="E91E63"/>
        </w:rPr>
        <w:t>Über Enginsight</w:t>
      </w:r>
    </w:p>
    <w:p w14:paraId="11B88FB0" w14:textId="283F5840" w:rsidR="00D26455" w:rsidRDefault="00000000">
      <w:pPr>
        <w:spacing w:after="320" w:line="280" w:lineRule="auto"/>
        <w:jc w:val="both"/>
      </w:pPr>
      <w:r>
        <w:rPr>
          <w:rFonts w:ascii="Poppins Light" w:hAnsi="Poppins Light" w:cs="Poppins Light"/>
          <w:color w:val="000000"/>
          <w:sz w:val="18"/>
          <w:szCs w:val="18"/>
        </w:rPr>
        <w:t xml:space="preserve">Enginsight bietet eine umfassende Cybersecurity-Lösung für den Mittelstand. 2017 in Jena gegründet, ist die vollständig inhouse entwickelte Software heute bei zahlreichen KMU im Einsatz. Die </w:t>
      </w:r>
      <w:r w:rsidR="000E7725">
        <w:rPr>
          <w:rFonts w:ascii="Poppins Light" w:hAnsi="Poppins Light" w:cs="Poppins Light"/>
          <w:color w:val="000000"/>
          <w:sz w:val="18"/>
          <w:szCs w:val="18"/>
        </w:rPr>
        <w:t>Enginsight</w:t>
      </w:r>
      <w:r>
        <w:rPr>
          <w:rFonts w:ascii="Poppins Light" w:hAnsi="Poppins Light" w:cs="Poppins Light"/>
          <w:color w:val="000000"/>
          <w:sz w:val="18"/>
          <w:szCs w:val="18"/>
        </w:rPr>
        <w:t>-Plattform vereint Schwachstellenmanagement, Asset Monitoring, Angriffserkennung, Compliance-Analysen und automatisierte Abwehrmaßnahmen in einer einzigen Lösung. Unter dem Leitmotiv „Unsichtbares sichtbar machen“ und „Unsicheres sicher machen“ kombiniert Enginsight Transparenz, Automatisierung und eine praxisnahe Sicherheitsarchitektur, um den Mittelstand effizient und nachhaltig zu schützen – Cybersecurity 100 % Made in Germany.</w:t>
      </w:r>
    </w:p>
    <w:p w14:paraId="549B7402" w14:textId="5DB131D2" w:rsidR="00D26455" w:rsidRDefault="00000000">
      <w:pPr>
        <w:keepNext/>
        <w:spacing w:before="120" w:after="120" w:line="280" w:lineRule="auto"/>
      </w:pPr>
      <w:r>
        <w:rPr>
          <w:rFonts w:ascii="Poppins Medium" w:hAnsi="Poppins Medium" w:cs="Poppins Medium"/>
          <w:caps/>
          <w:color w:val="E91E63"/>
        </w:rPr>
        <w:lastRenderedPageBreak/>
        <w:t>Pressekontakt</w:t>
      </w:r>
    </w:p>
    <w:p w14:paraId="6ABE5AAC" w14:textId="77777777" w:rsidR="00D26455" w:rsidRDefault="00000000">
      <w:pPr>
        <w:spacing w:after="60" w:line="280" w:lineRule="auto"/>
      </w:pPr>
      <w:r>
        <w:rPr>
          <w:rFonts w:ascii="Poppins Light" w:hAnsi="Poppins Light" w:cs="Poppins Light"/>
          <w:b/>
          <w:bCs/>
          <w:color w:val="000000"/>
          <w:sz w:val="18"/>
          <w:szCs w:val="18"/>
        </w:rPr>
        <w:t>Sabine Kuch</w:t>
      </w:r>
    </w:p>
    <w:p w14:paraId="23A9728B" w14:textId="77777777" w:rsidR="00D26455" w:rsidRDefault="00000000">
      <w:pPr>
        <w:spacing w:after="60" w:line="280" w:lineRule="auto"/>
      </w:pPr>
      <w:r>
        <w:rPr>
          <w:rFonts w:ascii="Poppins Light" w:hAnsi="Poppins Light" w:cs="Poppins Light"/>
          <w:color w:val="000000"/>
          <w:sz w:val="18"/>
          <w:szCs w:val="18"/>
        </w:rPr>
        <w:t>Enginsight GmbH</w:t>
      </w:r>
    </w:p>
    <w:p w14:paraId="369C1437" w14:textId="77777777" w:rsidR="00D26455" w:rsidRDefault="00000000">
      <w:pPr>
        <w:spacing w:after="60" w:line="280" w:lineRule="auto"/>
      </w:pPr>
      <w:r>
        <w:rPr>
          <w:rFonts w:ascii="Poppins Light" w:hAnsi="Poppins Light" w:cs="Poppins Light"/>
          <w:color w:val="000000"/>
          <w:sz w:val="18"/>
          <w:szCs w:val="18"/>
        </w:rPr>
        <w:t>sabine.kuch[at]enginsight.com</w:t>
      </w:r>
    </w:p>
    <w:p w14:paraId="1CC05408" w14:textId="77777777" w:rsidR="00D26455" w:rsidRDefault="00000000">
      <w:pPr>
        <w:spacing w:after="320" w:line="280" w:lineRule="auto"/>
      </w:pPr>
      <w:r>
        <w:rPr>
          <w:rFonts w:ascii="Poppins Light" w:hAnsi="Poppins Light" w:cs="Poppins Light"/>
          <w:color w:val="54595F"/>
          <w:sz w:val="18"/>
          <w:szCs w:val="18"/>
        </w:rPr>
        <w:t>enginsight.com</w:t>
      </w:r>
    </w:p>
    <w:p w14:paraId="1964666A" w14:textId="77777777" w:rsidR="00D26455" w:rsidRDefault="00000000">
      <w:pPr>
        <w:pBdr>
          <w:top w:val="single" w:sz="4" w:space="4" w:color="CCCCCC"/>
        </w:pBdr>
        <w:spacing w:before="200" w:line="240" w:lineRule="auto"/>
      </w:pPr>
      <w:r>
        <w:rPr>
          <w:rFonts w:ascii="Poppins Light" w:hAnsi="Poppins Light" w:cs="Poppins Light"/>
          <w:i/>
          <w:iCs/>
          <w:color w:val="54595F"/>
          <w:sz w:val="14"/>
          <w:szCs w:val="14"/>
        </w:rPr>
        <w:t>*Wir verzichten zugunsten der Lesbarkeit auf die gendergerechte Schreibweise; weisen aber an dieser Stelle ausdrücklich darauf hin, dass „Kunde“, „Partner“ etc. alle Geschlechtsidentitäten einbezieht.</w:t>
      </w:r>
    </w:p>
    <w:sectPr w:rsidR="00D26455" w:rsidSect="0007767B">
      <w:headerReference w:type="default" r:id="rId11"/>
      <w:footerReference w:type="default" r:id="rId12"/>
      <w:pgSz w:w="11906" w:h="16838"/>
      <w:pgMar w:top="64" w:right="1418" w:bottom="1134" w:left="1418" w:header="2608"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039F" w14:textId="77777777" w:rsidR="00822DF8" w:rsidRDefault="00822DF8" w:rsidP="006F1D54">
      <w:pPr>
        <w:spacing w:line="240" w:lineRule="auto"/>
      </w:pPr>
      <w:r>
        <w:separator/>
      </w:r>
    </w:p>
  </w:endnote>
  <w:endnote w:type="continuationSeparator" w:id="0">
    <w:p w14:paraId="2E889E55" w14:textId="77777777" w:rsidR="00822DF8" w:rsidRDefault="00822DF8" w:rsidP="006F1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Roboto Medium">
    <w:panose1 w:val="00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Poppins Medium">
    <w:panose1 w:val="000006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Light" w:hAnsi="Poppins Light" w:cs="Poppins Light"/>
        <w:sz w:val="14"/>
        <w:szCs w:val="14"/>
      </w:rPr>
      <w:id w:val="887840559"/>
      <w:docPartObj>
        <w:docPartGallery w:val="Page Numbers (Bottom of Page)"/>
        <w:docPartUnique/>
      </w:docPartObj>
    </w:sdtPr>
    <w:sdtContent>
      <w:sdt>
        <w:sdtPr>
          <w:rPr>
            <w:rFonts w:ascii="Poppins Light" w:hAnsi="Poppins Light" w:cs="Poppins Light"/>
            <w:sz w:val="14"/>
            <w:szCs w:val="14"/>
          </w:rPr>
          <w:id w:val="-1769616900"/>
          <w:docPartObj>
            <w:docPartGallery w:val="Page Numbers (Top of Page)"/>
            <w:docPartUnique/>
          </w:docPartObj>
        </w:sdtPr>
        <w:sdtContent>
          <w:p w14:paraId="68B5508C" w14:textId="77777777" w:rsidR="00027E97" w:rsidRPr="009700CE" w:rsidRDefault="00027E97">
            <w:pPr>
              <w:pStyle w:val="Fuzeile"/>
              <w:jc w:val="right"/>
              <w:rPr>
                <w:rFonts w:ascii="Poppins Light" w:hAnsi="Poppins Light" w:cs="Poppins Light"/>
                <w:sz w:val="14"/>
                <w:szCs w:val="14"/>
              </w:rPr>
            </w:pPr>
            <w:r w:rsidRPr="009700CE">
              <w:rPr>
                <w:rFonts w:ascii="Poppins Light" w:hAnsi="Poppins Light" w:cs="Poppins Light"/>
                <w:sz w:val="14"/>
                <w:szCs w:val="14"/>
              </w:rPr>
              <w:t xml:space="preserve">Seite </w:t>
            </w:r>
            <w:r w:rsidRPr="009700CE">
              <w:rPr>
                <w:rFonts w:ascii="Poppins Light" w:hAnsi="Poppins Light" w:cs="Poppins Light"/>
                <w:sz w:val="14"/>
                <w:szCs w:val="14"/>
              </w:rPr>
              <w:fldChar w:fldCharType="begin"/>
            </w:r>
            <w:r w:rsidRPr="009700CE">
              <w:rPr>
                <w:rFonts w:ascii="Poppins Light" w:hAnsi="Poppins Light" w:cs="Poppins Light"/>
                <w:sz w:val="14"/>
                <w:szCs w:val="14"/>
              </w:rPr>
              <w:instrText>PAGE</w:instrText>
            </w:r>
            <w:r w:rsidRPr="009700CE">
              <w:rPr>
                <w:rFonts w:ascii="Poppins Light" w:hAnsi="Poppins Light" w:cs="Poppins Light"/>
                <w:sz w:val="14"/>
                <w:szCs w:val="14"/>
              </w:rPr>
              <w:fldChar w:fldCharType="separate"/>
            </w:r>
            <w:r w:rsidR="004F1FCE">
              <w:rPr>
                <w:rFonts w:ascii="Poppins Light" w:hAnsi="Poppins Light" w:cs="Poppins Light"/>
                <w:noProof/>
                <w:sz w:val="14"/>
                <w:szCs w:val="14"/>
              </w:rPr>
              <w:t>3</w:t>
            </w:r>
            <w:r w:rsidRPr="009700CE">
              <w:rPr>
                <w:rFonts w:ascii="Poppins Light" w:hAnsi="Poppins Light" w:cs="Poppins Light"/>
                <w:sz w:val="14"/>
                <w:szCs w:val="14"/>
              </w:rPr>
              <w:fldChar w:fldCharType="end"/>
            </w:r>
            <w:r w:rsidRPr="009700CE">
              <w:rPr>
                <w:rFonts w:ascii="Poppins Light" w:hAnsi="Poppins Light" w:cs="Poppins Light"/>
                <w:sz w:val="14"/>
                <w:szCs w:val="14"/>
              </w:rPr>
              <w:t xml:space="preserve"> von </w:t>
            </w:r>
            <w:r w:rsidRPr="009700CE">
              <w:rPr>
                <w:rFonts w:ascii="Poppins Light" w:hAnsi="Poppins Light" w:cs="Poppins Light"/>
                <w:sz w:val="14"/>
                <w:szCs w:val="14"/>
              </w:rPr>
              <w:fldChar w:fldCharType="begin"/>
            </w:r>
            <w:r w:rsidRPr="009700CE">
              <w:rPr>
                <w:rFonts w:ascii="Poppins Light" w:hAnsi="Poppins Light" w:cs="Poppins Light"/>
                <w:sz w:val="14"/>
                <w:szCs w:val="14"/>
              </w:rPr>
              <w:instrText>NUMPAGES</w:instrText>
            </w:r>
            <w:r w:rsidRPr="009700CE">
              <w:rPr>
                <w:rFonts w:ascii="Poppins Light" w:hAnsi="Poppins Light" w:cs="Poppins Light"/>
                <w:sz w:val="14"/>
                <w:szCs w:val="14"/>
              </w:rPr>
              <w:fldChar w:fldCharType="separate"/>
            </w:r>
            <w:r w:rsidR="004F1FCE">
              <w:rPr>
                <w:rFonts w:ascii="Poppins Light" w:hAnsi="Poppins Light" w:cs="Poppins Light"/>
                <w:noProof/>
                <w:sz w:val="14"/>
                <w:szCs w:val="14"/>
              </w:rPr>
              <w:t>3</w:t>
            </w:r>
            <w:r w:rsidRPr="009700CE">
              <w:rPr>
                <w:rFonts w:ascii="Poppins Light" w:hAnsi="Poppins Light" w:cs="Poppins Light"/>
                <w:sz w:val="14"/>
                <w:szCs w:val="14"/>
              </w:rPr>
              <w:fldChar w:fldCharType="end"/>
            </w:r>
          </w:p>
        </w:sdtContent>
      </w:sdt>
    </w:sdtContent>
  </w:sdt>
  <w:p w14:paraId="0EE00260" w14:textId="77777777" w:rsidR="006F1D54" w:rsidRPr="009700CE" w:rsidRDefault="006F1D54">
    <w:pPr>
      <w:pStyle w:val="Fuzeile"/>
      <w:rPr>
        <w:rFonts w:ascii="Poppins Light" w:hAnsi="Poppins Light" w:cs="Poppins Ligh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DDF8" w14:textId="77777777" w:rsidR="00822DF8" w:rsidRDefault="00822DF8" w:rsidP="006F1D54">
      <w:pPr>
        <w:spacing w:line="240" w:lineRule="auto"/>
      </w:pPr>
      <w:r>
        <w:separator/>
      </w:r>
    </w:p>
  </w:footnote>
  <w:footnote w:type="continuationSeparator" w:id="0">
    <w:p w14:paraId="2CC97352" w14:textId="77777777" w:rsidR="00822DF8" w:rsidRDefault="00822DF8" w:rsidP="006F1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85C8" w14:textId="77777777" w:rsidR="00211552" w:rsidRDefault="00AC4E8E">
    <w:pPr>
      <w:pStyle w:val="Kopfzeile"/>
    </w:pPr>
    <w:r>
      <w:rPr>
        <w:noProof/>
      </w:rPr>
      <w:drawing>
        <wp:anchor distT="0" distB="0" distL="114300" distR="114300" simplePos="0" relativeHeight="251658240" behindDoc="1" locked="0" layoutInCell="1" allowOverlap="1" wp14:anchorId="0A65E7C2" wp14:editId="0EEE09A8">
          <wp:simplePos x="0" y="0"/>
          <wp:positionH relativeFrom="column">
            <wp:posOffset>-910055</wp:posOffset>
          </wp:positionH>
          <wp:positionV relativeFrom="paragraph">
            <wp:posOffset>-1675331</wp:posOffset>
          </wp:positionV>
          <wp:extent cx="7559662" cy="1069326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62" cy="10693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7E0A"/>
    <w:multiLevelType w:val="multilevel"/>
    <w:tmpl w:val="4174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615D9"/>
    <w:multiLevelType w:val="multilevel"/>
    <w:tmpl w:val="A18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441845">
    <w:abstractNumId w:val="0"/>
  </w:num>
  <w:num w:numId="2" w16cid:durableId="20494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92"/>
    <w:rsid w:val="00027E97"/>
    <w:rsid w:val="00077092"/>
    <w:rsid w:val="0007767B"/>
    <w:rsid w:val="00097833"/>
    <w:rsid w:val="000E7725"/>
    <w:rsid w:val="001F2929"/>
    <w:rsid w:val="00211552"/>
    <w:rsid w:val="00277C10"/>
    <w:rsid w:val="002F1181"/>
    <w:rsid w:val="00311639"/>
    <w:rsid w:val="00367C97"/>
    <w:rsid w:val="0039466C"/>
    <w:rsid w:val="003D260E"/>
    <w:rsid w:val="003F3792"/>
    <w:rsid w:val="00413590"/>
    <w:rsid w:val="00446EDA"/>
    <w:rsid w:val="0045193F"/>
    <w:rsid w:val="00476A0B"/>
    <w:rsid w:val="004A7617"/>
    <w:rsid w:val="004F1FCE"/>
    <w:rsid w:val="005F14B3"/>
    <w:rsid w:val="0061547A"/>
    <w:rsid w:val="00625C7C"/>
    <w:rsid w:val="00640CC5"/>
    <w:rsid w:val="006519AA"/>
    <w:rsid w:val="00657F81"/>
    <w:rsid w:val="006C38D0"/>
    <w:rsid w:val="006D5582"/>
    <w:rsid w:val="006F1D54"/>
    <w:rsid w:val="00763A4C"/>
    <w:rsid w:val="00791B8B"/>
    <w:rsid w:val="008045FA"/>
    <w:rsid w:val="008050CF"/>
    <w:rsid w:val="00822DF8"/>
    <w:rsid w:val="00824C1F"/>
    <w:rsid w:val="00883FA1"/>
    <w:rsid w:val="008B260B"/>
    <w:rsid w:val="008E3AAC"/>
    <w:rsid w:val="00912ADA"/>
    <w:rsid w:val="00954506"/>
    <w:rsid w:val="009700CE"/>
    <w:rsid w:val="009F3ABE"/>
    <w:rsid w:val="00A07A0E"/>
    <w:rsid w:val="00A214CC"/>
    <w:rsid w:val="00A35ACE"/>
    <w:rsid w:val="00A563D4"/>
    <w:rsid w:val="00A62992"/>
    <w:rsid w:val="00A71789"/>
    <w:rsid w:val="00A80709"/>
    <w:rsid w:val="00A9345D"/>
    <w:rsid w:val="00AC4E8E"/>
    <w:rsid w:val="00B12D2F"/>
    <w:rsid w:val="00BB439E"/>
    <w:rsid w:val="00C277D6"/>
    <w:rsid w:val="00C565AF"/>
    <w:rsid w:val="00CC3B34"/>
    <w:rsid w:val="00CD6098"/>
    <w:rsid w:val="00CF1468"/>
    <w:rsid w:val="00D13798"/>
    <w:rsid w:val="00D26455"/>
    <w:rsid w:val="00D8315B"/>
    <w:rsid w:val="00D84339"/>
    <w:rsid w:val="00DD1C4A"/>
    <w:rsid w:val="00E612D1"/>
    <w:rsid w:val="00EA2D68"/>
    <w:rsid w:val="00F021DE"/>
    <w:rsid w:val="00F07DB6"/>
    <w:rsid w:val="00F47CB3"/>
    <w:rsid w:val="00F701CB"/>
    <w:rsid w:val="00F933BF"/>
    <w:rsid w:val="00FB4800"/>
    <w:rsid w:val="00FB65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2FF5"/>
  <w15:chartTrackingRefBased/>
  <w15:docId w15:val="{584BA701-096D-491E-9D26-82D53F82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552"/>
    <w:pPr>
      <w:spacing w:after="0" w:line="320" w:lineRule="exact"/>
    </w:pPr>
    <w:rPr>
      <w:rFonts w:ascii="Arial" w:eastAsia="Times New Roman" w:hAnsi="Arial" w:cs="Times New Roman"/>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1D5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F1D54"/>
  </w:style>
  <w:style w:type="paragraph" w:styleId="Fuzeile">
    <w:name w:val="footer"/>
    <w:basedOn w:val="Standard"/>
    <w:link w:val="FuzeileZchn"/>
    <w:uiPriority w:val="99"/>
    <w:unhideWhenUsed/>
    <w:rsid w:val="006F1D5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F1D54"/>
  </w:style>
  <w:style w:type="table" w:styleId="Tabellenraster">
    <w:name w:val="Table Grid"/>
    <w:basedOn w:val="NormaleTabelle"/>
    <w:uiPriority w:val="39"/>
    <w:rsid w:val="00F70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3D260E"/>
    <w:pPr>
      <w:spacing w:after="0" w:line="240" w:lineRule="auto"/>
    </w:pPr>
    <w:rPr>
      <w:rFonts w:ascii="Roboto Light" w:hAnsi="Roboto Light"/>
    </w:rPr>
    <w:tblPr/>
  </w:style>
  <w:style w:type="table" w:styleId="Gitternetztabelle2Akzent2">
    <w:name w:val="Grid Table 2 Accent 2"/>
    <w:basedOn w:val="NormaleTabelle"/>
    <w:uiPriority w:val="47"/>
    <w:rsid w:val="003D260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ormatvorlage2">
    <w:name w:val="Formatvorlage2"/>
    <w:basedOn w:val="Tabellendesign"/>
    <w:uiPriority w:val="99"/>
    <w:rsid w:val="00097833"/>
    <w:pPr>
      <w:spacing w:line="240" w:lineRule="auto"/>
    </w:pPr>
    <w:tblPr>
      <w:tblStyleRowBandSize w:val="1"/>
    </w:tblPr>
    <w:tblStylePr w:type="firstRow">
      <w:pPr>
        <w:jc w:val="center"/>
      </w:pPr>
      <w:rPr>
        <w:rFonts w:ascii="Roboto Medium" w:hAnsi="Roboto Medium"/>
        <w:b/>
        <w:color w:val="FFFFFF" w:themeColor="background1"/>
        <w:sz w:val="18"/>
      </w:rPr>
      <w:tblPr/>
      <w:tcPr>
        <w:tcBorders>
          <w:top w:val="nil"/>
          <w:left w:val="nil"/>
          <w:bottom w:val="nil"/>
          <w:right w:val="nil"/>
          <w:insideH w:val="nil"/>
          <w:insideV w:val="single" w:sz="18" w:space="0" w:color="FFFFFF" w:themeColor="background1"/>
          <w:tl2br w:val="nil"/>
          <w:tr2bl w:val="nil"/>
        </w:tcBorders>
        <w:shd w:val="clear" w:color="auto" w:fill="E91E63"/>
      </w:tcPr>
    </w:tblStylePr>
    <w:tblStylePr w:type="firstCol">
      <w:pPr>
        <w:jc w:val="center"/>
      </w:pPr>
      <w:tblPr/>
      <w:tcPr>
        <w:tcBorders>
          <w:right w:val="single" w:sz="18" w:space="0" w:color="54595F"/>
        </w:tcBorders>
      </w:tcPr>
    </w:tblStylePr>
    <w:tblStylePr w:type="band1Horz">
      <w:tblPr/>
      <w:tcPr>
        <w:tcBorders>
          <w:top w:val="nil"/>
          <w:left w:val="nil"/>
          <w:bottom w:val="nil"/>
          <w:right w:val="nil"/>
          <w:insideH w:val="nil"/>
          <w:insideV w:val="nil"/>
          <w:tl2br w:val="nil"/>
          <w:tr2bl w:val="nil"/>
        </w:tcBorders>
        <w:shd w:val="clear" w:color="auto" w:fill="E9EAEB"/>
      </w:tcPr>
    </w:tblStylePr>
    <w:tblStylePr w:type="band2Horz">
      <w:pPr>
        <w:jc w:val="left"/>
      </w:pPr>
      <w:rPr>
        <w:rFonts w:ascii="Roboto Light" w:hAnsi="Roboto Light"/>
        <w:sz w:val="18"/>
      </w:rPr>
      <w:tblPr/>
      <w:tcPr>
        <w:tcBorders>
          <w:top w:val="nil"/>
          <w:left w:val="nil"/>
          <w:bottom w:val="nil"/>
          <w:right w:val="nil"/>
          <w:insideH w:val="nil"/>
          <w:insideV w:val="nil"/>
          <w:tl2br w:val="nil"/>
          <w:tr2bl w:val="nil"/>
        </w:tcBorders>
      </w:tcPr>
    </w:tblStylePr>
  </w:style>
  <w:style w:type="table" w:styleId="Tabellendesign">
    <w:name w:val="Table Theme"/>
    <w:basedOn w:val="NormaleTabelle"/>
    <w:uiPriority w:val="99"/>
    <w:semiHidden/>
    <w:unhideWhenUsed/>
    <w:rsid w:val="00097833"/>
    <w:pPr>
      <w:spacing w:after="0"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9345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345D"/>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E612D1"/>
    <w:rPr>
      <w:color w:val="0563C1" w:themeColor="hyperlink"/>
      <w:u w:val="single"/>
    </w:rPr>
  </w:style>
  <w:style w:type="character" w:customStyle="1" w:styleId="NichtaufgelsteErwhnung1">
    <w:name w:val="Nicht aufgelöste Erwähnung1"/>
    <w:basedOn w:val="Absatz-Standardschriftart"/>
    <w:uiPriority w:val="99"/>
    <w:semiHidden/>
    <w:unhideWhenUsed/>
    <w:rsid w:val="00E612D1"/>
    <w:rPr>
      <w:color w:val="605E5C"/>
      <w:shd w:val="clear" w:color="auto" w:fill="E1DFDD"/>
    </w:rPr>
  </w:style>
  <w:style w:type="paragraph" w:styleId="KeinLeerraum">
    <w:name w:val="No Spacing"/>
    <w:link w:val="KeinLeerraumZchn"/>
    <w:uiPriority w:val="1"/>
    <w:qFormat/>
    <w:rsid w:val="00211552"/>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211552"/>
    <w:rPr>
      <w:rFonts w:eastAsiaTheme="minorEastAsia"/>
      <w:lang w:eastAsia="de-DE"/>
    </w:rPr>
  </w:style>
  <w:style w:type="paragraph" w:styleId="Listenabsatz">
    <w:name w:val="List Paragraph"/>
    <w:basedOn w:val="Standard"/>
    <w:uiPriority w:val="34"/>
    <w:qFormat/>
    <w:rsid w:val="00367C97"/>
    <w:pPr>
      <w:ind w:left="720"/>
      <w:contextualSpacing/>
    </w:pPr>
  </w:style>
  <w:style w:type="character" w:styleId="NichtaufgelsteErwhnung">
    <w:name w:val="Unresolved Mention"/>
    <w:basedOn w:val="Absatz-Standardschriftart"/>
    <w:uiPriority w:val="99"/>
    <w:semiHidden/>
    <w:unhideWhenUsed/>
    <w:rsid w:val="006D5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insight.com/de/nis2-readines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4b70dc-15e8-4bd4-95cc-5fc6e5d806b9">
      <Terms xmlns="http://schemas.microsoft.com/office/infopath/2007/PartnerControls"/>
    </lcf76f155ced4ddcb4097134ff3c332f>
    <TaxCatchAll xmlns="67717297-375d-4094-aebf-8df56d003c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B9B091AAB57746A4066DF9540ABAD7" ma:contentTypeVersion="13" ma:contentTypeDescription="Ein neues Dokument erstellen." ma:contentTypeScope="" ma:versionID="06ae1e7c8ef2fc41174655a9771ce1ed">
  <xsd:schema xmlns:xsd="http://www.w3.org/2001/XMLSchema" xmlns:xs="http://www.w3.org/2001/XMLSchema" xmlns:p="http://schemas.microsoft.com/office/2006/metadata/properties" xmlns:ns2="af4b70dc-15e8-4bd4-95cc-5fc6e5d806b9" xmlns:ns3="67717297-375d-4094-aebf-8df56d003c3c" targetNamespace="http://schemas.microsoft.com/office/2006/metadata/properties" ma:root="true" ma:fieldsID="e8f225c759b56d1186ad3a46a5bc45f1" ns2:_="" ns3:_="">
    <xsd:import namespace="af4b70dc-15e8-4bd4-95cc-5fc6e5d806b9"/>
    <xsd:import namespace="67717297-375d-4094-aebf-8df56d003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b70dc-15e8-4bd4-95cc-5fc6e5d8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d8085f1-c13c-4d6c-82bb-d85fbf6196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7297-375d-4094-aebf-8df56d003c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2bdb93-8031-467a-8c10-fd7e755b6f22}" ma:internalName="TaxCatchAll" ma:showField="CatchAllData" ma:web="67717297-375d-4094-aebf-8df56d003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AAC69-1EAF-4F46-9971-8499E39732D3}">
  <ds:schemaRefs>
    <ds:schemaRef ds:uri="http://schemas.microsoft.com/sharepoint/v3/contenttype/forms"/>
  </ds:schemaRefs>
</ds:datastoreItem>
</file>

<file path=customXml/itemProps2.xml><?xml version="1.0" encoding="utf-8"?>
<ds:datastoreItem xmlns:ds="http://schemas.openxmlformats.org/officeDocument/2006/customXml" ds:itemID="{2328498B-877F-4D24-826B-51725BB21A71}">
  <ds:schemaRefs>
    <ds:schemaRef ds:uri="http://schemas.microsoft.com/office/2006/metadata/properties"/>
    <ds:schemaRef ds:uri="http://schemas.microsoft.com/office/infopath/2007/PartnerControls"/>
    <ds:schemaRef ds:uri="af4b70dc-15e8-4bd4-95cc-5fc6e5d806b9"/>
    <ds:schemaRef ds:uri="67717297-375d-4094-aebf-8df56d003c3c"/>
  </ds:schemaRefs>
</ds:datastoreItem>
</file>

<file path=customXml/itemProps3.xml><?xml version="1.0" encoding="utf-8"?>
<ds:datastoreItem xmlns:ds="http://schemas.openxmlformats.org/officeDocument/2006/customXml" ds:itemID="{129E51C9-350A-415B-8128-8940B8483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b70dc-15e8-4bd4-95cc-5fc6e5d806b9"/>
    <ds:schemaRef ds:uri="67717297-375d-4094-aebf-8df56d003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3549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Schulze</dc:creator>
  <cp:keywords/>
  <dc:description/>
  <cp:lastModifiedBy>Simon Jakob</cp:lastModifiedBy>
  <cp:revision>5</cp:revision>
  <cp:lastPrinted>2026-04-30T10:41:00Z</cp:lastPrinted>
  <dcterms:created xsi:type="dcterms:W3CDTF">2026-05-19T09:18:00Z</dcterms:created>
  <dcterms:modified xsi:type="dcterms:W3CDTF">2026-05-19T09:38:00Z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0x010100D7B9B091AAB57746A4066DF9540ABAD7</vt:lpwstr>
  </property>
  <property fmtid="{D5CDD505-2E9C-101B-9397-08002B2CF9AE}" pid="3" name="MediaServiceImageTags">
    <vt:lpwstr/>
  </property>
</Properties>
</file>