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2334F6" w14:textId="77777777" w:rsidR="00D26455" w:rsidRDefault="00000000">
      <w:pPr>
        <w:spacing w:after="200" w:line="280" w:lineRule="auto"/>
      </w:pPr>
      <w:r>
        <w:rPr>
          <w:rFonts w:ascii="Poppins Medium" w:hAnsi="Poppins Medium" w:cs="Poppins Medium"/>
          <w:color w:val="E91E63"/>
          <w:sz w:val="18"/>
          <w:szCs w:val="18"/>
        </w:rPr>
        <w:t>PRESSEMITTEILUNG</w:t>
      </w:r>
    </w:p>
    <w:p w14:paraId="346F193E" w14:textId="77777777" w:rsidR="00064B85" w:rsidRPr="00064B85" w:rsidRDefault="00064B85" w:rsidP="00064B85">
      <w:pPr>
        <w:spacing w:before="100" w:beforeAutospacing="1" w:after="100" w:afterAutospacing="1" w:line="300" w:lineRule="atLeast"/>
        <w:outlineLvl w:val="0"/>
        <w:rPr>
          <w:rFonts w:ascii="Poppins Light" w:hAnsi="Poppins Light" w:cs="Poppins Light"/>
          <w:color w:val="000000"/>
          <w:sz w:val="18"/>
          <w:szCs w:val="18"/>
        </w:rPr>
      </w:pPr>
      <w:r w:rsidRPr="00064B85">
        <w:rPr>
          <w:rFonts w:ascii="Poppins" w:hAnsi="Poppins" w:cs="Poppins"/>
          <w:sz w:val="36"/>
          <w:szCs w:val="36"/>
        </w:rPr>
        <w:t xml:space="preserve">Mit Channel-First in die Top Ten: </w:t>
      </w:r>
      <w:proofErr w:type="spellStart"/>
      <w:r w:rsidRPr="00064B85">
        <w:rPr>
          <w:rFonts w:ascii="Poppins" w:hAnsi="Poppins" w:cs="Poppins"/>
          <w:sz w:val="36"/>
          <w:szCs w:val="36"/>
        </w:rPr>
        <w:t>Enginsight</w:t>
      </w:r>
      <w:proofErr w:type="spellEnd"/>
      <w:r w:rsidRPr="00064B85">
        <w:rPr>
          <w:rFonts w:ascii="Poppins" w:hAnsi="Poppins" w:cs="Poppins"/>
          <w:sz w:val="36"/>
          <w:szCs w:val="36"/>
        </w:rPr>
        <w:t xml:space="preserve"> zählt zu den Aufsteigern des Jahres</w:t>
      </w:r>
    </w:p>
    <w:p w14:paraId="25283C23" w14:textId="54A02615" w:rsidR="00064B85" w:rsidRPr="00064B85" w:rsidRDefault="00064B85" w:rsidP="00064B85">
      <w:pPr>
        <w:spacing w:before="100" w:beforeAutospacing="1" w:after="100" w:afterAutospacing="1" w:line="300" w:lineRule="atLeast"/>
        <w:rPr>
          <w:rFonts w:ascii="Poppins Light" w:hAnsi="Poppins Light" w:cs="Poppins Light"/>
          <w:color w:val="000000"/>
          <w:sz w:val="18"/>
          <w:szCs w:val="18"/>
        </w:rPr>
      </w:pPr>
      <w:r w:rsidRPr="00064B85">
        <w:rPr>
          <w:rFonts w:ascii="Poppins Light" w:hAnsi="Poppins Light" w:cs="Poppins Light"/>
          <w:color w:val="000000"/>
          <w:sz w:val="18"/>
          <w:szCs w:val="18"/>
        </w:rPr>
        <w:t xml:space="preserve">Jena, </w:t>
      </w:r>
      <w:r>
        <w:rPr>
          <w:rFonts w:ascii="Poppins Light" w:hAnsi="Poppins Light" w:cs="Poppins Light"/>
          <w:color w:val="000000"/>
          <w:sz w:val="18"/>
          <w:szCs w:val="18"/>
        </w:rPr>
        <w:t xml:space="preserve">11. August 2026 </w:t>
      </w:r>
      <w:r w:rsidRPr="00064B85">
        <w:rPr>
          <w:rFonts w:ascii="Poppins Light" w:hAnsi="Poppins Light" w:cs="Poppins Light"/>
          <w:color w:val="000000"/>
          <w:sz w:val="18"/>
          <w:szCs w:val="18"/>
        </w:rPr>
        <w:t xml:space="preserve">–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gehört erstmals zu den Top Ten der bestbewerteten Security-Hersteller in Deutschland. Zu diesem Ergebnis kommen die Channel Excellence Awards 2026, die von der Fachzeitschrift </w:t>
      </w:r>
      <w:proofErr w:type="spellStart"/>
      <w:r w:rsidRPr="00064B85">
        <w:rPr>
          <w:rFonts w:ascii="Poppins Light" w:hAnsi="Poppins Light" w:cs="Poppins Light"/>
          <w:color w:val="000000"/>
          <w:sz w:val="18"/>
          <w:szCs w:val="18"/>
        </w:rPr>
        <w:t>ChannelPartner</w:t>
      </w:r>
      <w:proofErr w:type="spellEnd"/>
      <w:r w:rsidRPr="00064B85">
        <w:rPr>
          <w:rFonts w:ascii="Poppins Light" w:hAnsi="Poppins Light" w:cs="Poppins Light"/>
          <w:color w:val="000000"/>
          <w:sz w:val="18"/>
          <w:szCs w:val="18"/>
        </w:rPr>
        <w:t xml:space="preserve"> gemeinsam mit dem Marktforschungsunternehmen </w:t>
      </w:r>
      <w:proofErr w:type="spellStart"/>
      <w:r w:rsidRPr="00064B85">
        <w:rPr>
          <w:rFonts w:ascii="Poppins Light" w:hAnsi="Poppins Light" w:cs="Poppins Light"/>
          <w:color w:val="000000"/>
          <w:sz w:val="18"/>
          <w:szCs w:val="18"/>
        </w:rPr>
        <w:t>Context</w:t>
      </w:r>
      <w:proofErr w:type="spellEnd"/>
      <w:r w:rsidRPr="00064B85">
        <w:rPr>
          <w:rFonts w:ascii="Poppins Light" w:hAnsi="Poppins Light" w:cs="Poppins Light"/>
          <w:color w:val="000000"/>
          <w:sz w:val="18"/>
          <w:szCs w:val="18"/>
        </w:rPr>
        <w:t xml:space="preserve"> auf Basis einer umfangreichen Befragung von Systemhäusern, </w:t>
      </w:r>
      <w:proofErr w:type="spellStart"/>
      <w:r w:rsidRPr="00064B85">
        <w:rPr>
          <w:rFonts w:ascii="Poppins Light" w:hAnsi="Poppins Light" w:cs="Poppins Light"/>
          <w:color w:val="000000"/>
          <w:sz w:val="18"/>
          <w:szCs w:val="18"/>
        </w:rPr>
        <w:t>Managed</w:t>
      </w:r>
      <w:proofErr w:type="spellEnd"/>
      <w:r w:rsidRPr="00064B85">
        <w:rPr>
          <w:rFonts w:ascii="Poppins Light" w:hAnsi="Poppins Light" w:cs="Poppins Light"/>
          <w:color w:val="000000"/>
          <w:sz w:val="18"/>
          <w:szCs w:val="18"/>
        </w:rPr>
        <w:t xml:space="preserve"> Service Providern (MSPs), IT-Dienstleistern und Fachhändlern vergeben werden. Besonders bemerkenswert: Der </w:t>
      </w:r>
      <w:proofErr w:type="spellStart"/>
      <w:r w:rsidRPr="00064B85">
        <w:rPr>
          <w:rFonts w:ascii="Poppins Light" w:hAnsi="Poppins Light" w:cs="Poppins Light"/>
          <w:color w:val="000000"/>
          <w:sz w:val="18"/>
          <w:szCs w:val="18"/>
        </w:rPr>
        <w:t>Cybersecurity</w:t>
      </w:r>
      <w:proofErr w:type="spellEnd"/>
      <w:r w:rsidRPr="00064B85">
        <w:rPr>
          <w:rFonts w:ascii="Poppins Light" w:hAnsi="Poppins Light" w:cs="Poppins Light"/>
          <w:color w:val="000000"/>
          <w:sz w:val="18"/>
          <w:szCs w:val="18"/>
        </w:rPr>
        <w:t xml:space="preserve">-Anbieter aus Jena ist der bestplatzierte Neueinsteiger im Security-Segment. </w:t>
      </w:r>
      <w:proofErr w:type="spellStart"/>
      <w:r w:rsidRPr="00064B85">
        <w:rPr>
          <w:rFonts w:ascii="Poppins Light" w:hAnsi="Poppins Light" w:cs="Poppins Light"/>
          <w:color w:val="000000"/>
          <w:sz w:val="18"/>
          <w:szCs w:val="18"/>
        </w:rPr>
        <w:t>ChannelPartner</w:t>
      </w:r>
      <w:proofErr w:type="spellEnd"/>
      <w:r w:rsidRPr="00064B85">
        <w:rPr>
          <w:rFonts w:ascii="Poppins Light" w:hAnsi="Poppins Light" w:cs="Poppins Light"/>
          <w:color w:val="000000"/>
          <w:sz w:val="18"/>
          <w:szCs w:val="18"/>
        </w:rPr>
        <w:t xml:space="preserve"> hebt dabei insbesondere die erfolgreiche Partneransprache, den Ausbau des Lösungsportfolios sowie die Verpflichtung erfahrener Channel-Spezialisten hervor. </w:t>
      </w:r>
    </w:p>
    <w:p w14:paraId="1397D1AD" w14:textId="77777777" w:rsidR="00064B85" w:rsidRPr="00064B85" w:rsidRDefault="00064B85" w:rsidP="00064B85">
      <w:pPr>
        <w:spacing w:before="100" w:beforeAutospacing="1" w:after="100" w:afterAutospacing="1" w:line="300" w:lineRule="atLeast"/>
        <w:rPr>
          <w:rFonts w:ascii="Poppins Light" w:hAnsi="Poppins Light" w:cs="Poppins Light"/>
          <w:color w:val="000000"/>
          <w:sz w:val="18"/>
          <w:szCs w:val="18"/>
        </w:rPr>
      </w:pPr>
      <w:r w:rsidRPr="00064B85">
        <w:rPr>
          <w:rFonts w:ascii="Poppins Light" w:hAnsi="Poppins Light" w:cs="Poppins Light"/>
          <w:color w:val="000000"/>
          <w:sz w:val="18"/>
          <w:szCs w:val="18"/>
        </w:rPr>
        <w:t xml:space="preserve">Für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ist die Auszeichnung eine Bestätigung der konsequent verfolgten Channel-First-Strategie. Das Unternehmen setzt auf den indirekten Vertrieb über qualifizierte Partner und investiert gezielt in deren Weiterentwicklung. Unter der Leitung von Claudia Wolf, Head of Sales, wurde ein Team aufgebaut, das langjährige Erfahrungen im Security- und Channel-Geschäft aus Unternehmen wie </w:t>
      </w:r>
      <w:proofErr w:type="spellStart"/>
      <w:r w:rsidRPr="00064B85">
        <w:rPr>
          <w:rFonts w:ascii="Poppins Light" w:hAnsi="Poppins Light" w:cs="Poppins Light"/>
          <w:color w:val="000000"/>
          <w:sz w:val="18"/>
          <w:szCs w:val="18"/>
        </w:rPr>
        <w:t>Astaro</w:t>
      </w:r>
      <w:proofErr w:type="spellEnd"/>
      <w:r w:rsidRPr="00064B85">
        <w:rPr>
          <w:rFonts w:ascii="Poppins Light" w:hAnsi="Poppins Light" w:cs="Poppins Light"/>
          <w:color w:val="000000"/>
          <w:sz w:val="18"/>
          <w:szCs w:val="18"/>
        </w:rPr>
        <w:t xml:space="preserve">, Sophos und LANCOM Systems vereint. </w:t>
      </w:r>
    </w:p>
    <w:p w14:paraId="42538DD9" w14:textId="77777777" w:rsidR="00064B85" w:rsidRPr="00064B85" w:rsidRDefault="00064B85" w:rsidP="00064B85">
      <w:pPr>
        <w:spacing w:before="100" w:beforeAutospacing="1" w:after="100" w:afterAutospacing="1" w:line="300" w:lineRule="atLeast"/>
        <w:rPr>
          <w:rFonts w:ascii="Poppins Light" w:hAnsi="Poppins Light" w:cs="Poppins Light"/>
          <w:color w:val="000000"/>
          <w:sz w:val="18"/>
          <w:szCs w:val="18"/>
        </w:rPr>
      </w:pPr>
      <w:r w:rsidRPr="00064B85">
        <w:rPr>
          <w:rFonts w:ascii="Poppins Light" w:hAnsi="Poppins Light" w:cs="Poppins Light"/>
          <w:i/>
          <w:iCs/>
          <w:color w:val="000000"/>
          <w:sz w:val="18"/>
          <w:szCs w:val="18"/>
        </w:rPr>
        <w:t>„</w:t>
      </w:r>
      <w:proofErr w:type="spellStart"/>
      <w:r w:rsidRPr="00064B85">
        <w:rPr>
          <w:rFonts w:ascii="Poppins Light" w:hAnsi="Poppins Light" w:cs="Poppins Light"/>
          <w:i/>
          <w:iCs/>
          <w:color w:val="000000"/>
          <w:sz w:val="18"/>
          <w:szCs w:val="18"/>
        </w:rPr>
        <w:t>Enginsight</w:t>
      </w:r>
      <w:proofErr w:type="spellEnd"/>
      <w:r w:rsidRPr="00064B85">
        <w:rPr>
          <w:rFonts w:ascii="Poppins Light" w:hAnsi="Poppins Light" w:cs="Poppins Light"/>
          <w:i/>
          <w:iCs/>
          <w:color w:val="000000"/>
          <w:sz w:val="18"/>
          <w:szCs w:val="18"/>
        </w:rPr>
        <w:t xml:space="preserve"> ist ein innovatives und mutiges Unternehmen mit viel frischem Esprit. Diese Dynamik eines Start-ups haben wir mit der langjährigen Erfahrung versierter Channel-Experten kombiniert. Unser Ziel ist es, unsere Partner zu </w:t>
      </w:r>
      <w:proofErr w:type="spellStart"/>
      <w:r w:rsidRPr="00064B85">
        <w:rPr>
          <w:rFonts w:ascii="Poppins Light" w:hAnsi="Poppins Light" w:cs="Poppins Light"/>
          <w:i/>
          <w:iCs/>
          <w:color w:val="000000"/>
          <w:sz w:val="18"/>
          <w:szCs w:val="18"/>
        </w:rPr>
        <w:t>Trusted</w:t>
      </w:r>
      <w:proofErr w:type="spellEnd"/>
      <w:r w:rsidRPr="00064B85">
        <w:rPr>
          <w:rFonts w:ascii="Poppins Light" w:hAnsi="Poppins Light" w:cs="Poppins Light"/>
          <w:i/>
          <w:iCs/>
          <w:color w:val="000000"/>
          <w:sz w:val="18"/>
          <w:szCs w:val="18"/>
        </w:rPr>
        <w:t xml:space="preserve"> </w:t>
      </w:r>
      <w:proofErr w:type="spellStart"/>
      <w:r w:rsidRPr="00064B85">
        <w:rPr>
          <w:rFonts w:ascii="Poppins Light" w:hAnsi="Poppins Light" w:cs="Poppins Light"/>
          <w:i/>
          <w:iCs/>
          <w:color w:val="000000"/>
          <w:sz w:val="18"/>
          <w:szCs w:val="18"/>
        </w:rPr>
        <w:t>Advisors</w:t>
      </w:r>
      <w:proofErr w:type="spellEnd"/>
      <w:r w:rsidRPr="00064B85">
        <w:rPr>
          <w:rFonts w:ascii="Poppins Light" w:hAnsi="Poppins Light" w:cs="Poppins Light"/>
          <w:i/>
          <w:iCs/>
          <w:color w:val="000000"/>
          <w:sz w:val="18"/>
          <w:szCs w:val="18"/>
        </w:rPr>
        <w:t xml:space="preserve"> zu entwickeln, die ihre Kunden strategisch bei Fragen rund um Cybersicherheit, Resilienz und regulatorische Anforderungen begleiten. Die Platzierung in den Top Ten zeigt, dass dieser Ansatz vom Markt </w:t>
      </w:r>
      <w:proofErr w:type="gramStart"/>
      <w:r w:rsidRPr="00064B85">
        <w:rPr>
          <w:rFonts w:ascii="Poppins Light" w:hAnsi="Poppins Light" w:cs="Poppins Light"/>
          <w:i/>
          <w:iCs/>
          <w:color w:val="000000"/>
          <w:sz w:val="18"/>
          <w:szCs w:val="18"/>
        </w:rPr>
        <w:t>honoriert</w:t>
      </w:r>
      <w:proofErr w:type="gramEnd"/>
      <w:r w:rsidRPr="00064B85">
        <w:rPr>
          <w:rFonts w:ascii="Poppins Light" w:hAnsi="Poppins Light" w:cs="Poppins Light"/>
          <w:i/>
          <w:iCs/>
          <w:color w:val="000000"/>
          <w:sz w:val="18"/>
          <w:szCs w:val="18"/>
        </w:rPr>
        <w:t xml:space="preserve"> wird“,</w:t>
      </w:r>
      <w:r w:rsidRPr="00064B85">
        <w:rPr>
          <w:rFonts w:ascii="Poppins Light" w:hAnsi="Poppins Light" w:cs="Poppins Light"/>
          <w:color w:val="000000"/>
          <w:sz w:val="18"/>
          <w:szCs w:val="18"/>
        </w:rPr>
        <w:t xml:space="preserve"> sagt Claudia Wolf, Head of Sales bei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w:t>
      </w:r>
    </w:p>
    <w:p w14:paraId="1A7599EC" w14:textId="77777777" w:rsidR="00064B85" w:rsidRPr="00064B85" w:rsidRDefault="00064B85" w:rsidP="00064B85">
      <w:pPr>
        <w:spacing w:before="100" w:beforeAutospacing="1" w:after="100" w:afterAutospacing="1" w:line="300" w:lineRule="atLeast"/>
        <w:outlineLvl w:val="1"/>
        <w:rPr>
          <w:rFonts w:ascii="Poppins Light" w:hAnsi="Poppins Light" w:cs="Poppins Light"/>
          <w:caps/>
          <w:color w:val="000000"/>
          <w:sz w:val="30"/>
          <w:szCs w:val="30"/>
        </w:rPr>
      </w:pPr>
    </w:p>
    <w:p w14:paraId="2C9EAF47" w14:textId="77777777" w:rsidR="00064B85" w:rsidRPr="00064B85" w:rsidRDefault="00064B85" w:rsidP="00064B85">
      <w:pPr>
        <w:spacing w:before="100" w:beforeAutospacing="1" w:after="100" w:afterAutospacing="1" w:line="300" w:lineRule="atLeast"/>
        <w:outlineLvl w:val="1"/>
        <w:rPr>
          <w:rFonts w:ascii="Poppins Light" w:hAnsi="Poppins Light" w:cs="Poppins Light"/>
          <w:caps/>
          <w:color w:val="000000"/>
          <w:sz w:val="30"/>
          <w:szCs w:val="30"/>
        </w:rPr>
      </w:pPr>
      <w:r w:rsidRPr="00064B85">
        <w:rPr>
          <w:rFonts w:ascii="Poppins Light" w:hAnsi="Poppins Light" w:cs="Poppins Light"/>
          <w:caps/>
          <w:color w:val="000000"/>
          <w:sz w:val="30"/>
          <w:szCs w:val="30"/>
        </w:rPr>
        <w:t>Gemeinsam mit ALSO und TAROX wachsen</w:t>
      </w:r>
    </w:p>
    <w:p w14:paraId="5EB707A4" w14:textId="77777777" w:rsidR="00064B85" w:rsidRPr="00064B85" w:rsidRDefault="00064B85" w:rsidP="00064B85">
      <w:pPr>
        <w:spacing w:before="100" w:beforeAutospacing="1" w:after="100" w:afterAutospacing="1" w:line="300" w:lineRule="atLeast"/>
        <w:rPr>
          <w:rFonts w:ascii="Poppins Light" w:hAnsi="Poppins Light" w:cs="Poppins Light"/>
          <w:color w:val="000000"/>
          <w:sz w:val="18"/>
          <w:szCs w:val="18"/>
        </w:rPr>
      </w:pPr>
      <w:r w:rsidRPr="00064B85">
        <w:rPr>
          <w:rFonts w:ascii="Poppins Light" w:hAnsi="Poppins Light" w:cs="Poppins Light"/>
          <w:color w:val="000000"/>
          <w:sz w:val="18"/>
          <w:szCs w:val="18"/>
        </w:rPr>
        <w:t xml:space="preserve">Neben dem Ausbau des eigenen Partnermanagements setzt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gezielt auf die Zusammenarbeit mit den Distributoren ALSO Deutschland und TAROX. Sie übernehmen eine zentrale Rolle bei der Betreuung von Systemhäusern und IT-Dienstleistern, unterstützen mit Schulungen und </w:t>
      </w:r>
      <w:proofErr w:type="spellStart"/>
      <w:r w:rsidRPr="00064B85">
        <w:rPr>
          <w:rFonts w:ascii="Poppins Light" w:hAnsi="Poppins Light" w:cs="Poppins Light"/>
          <w:color w:val="000000"/>
          <w:sz w:val="18"/>
          <w:szCs w:val="18"/>
        </w:rPr>
        <w:t>Enablement</w:t>
      </w:r>
      <w:proofErr w:type="spellEnd"/>
      <w:r w:rsidRPr="00064B85">
        <w:rPr>
          <w:rFonts w:ascii="Poppins Light" w:hAnsi="Poppins Light" w:cs="Poppins Light"/>
          <w:color w:val="000000"/>
          <w:sz w:val="18"/>
          <w:szCs w:val="18"/>
        </w:rPr>
        <w:t xml:space="preserve">-Maßnahmen und sorgen für eine hohe Präsenz im Channel. Durch die enge und vertrauensvolle Zusammenarbeit entstehen kurze Wege zwischen Hersteller, Distributor und Partnern, die letztlich den Kunden zugutekommen. </w:t>
      </w:r>
    </w:p>
    <w:p w14:paraId="66B6FFE3" w14:textId="77777777" w:rsidR="00064B85" w:rsidRDefault="00064B85" w:rsidP="00064B85">
      <w:pPr>
        <w:spacing w:before="100" w:beforeAutospacing="1" w:after="100" w:afterAutospacing="1" w:line="300" w:lineRule="atLeast"/>
        <w:rPr>
          <w:rFonts w:ascii="Poppins Light" w:hAnsi="Poppins Light" w:cs="Poppins Light"/>
          <w:color w:val="000000"/>
          <w:sz w:val="18"/>
          <w:szCs w:val="18"/>
        </w:rPr>
      </w:pPr>
    </w:p>
    <w:p w14:paraId="3CB49331" w14:textId="1583A0ED" w:rsidR="00064B85" w:rsidRPr="00064B85" w:rsidRDefault="00064B85" w:rsidP="00064B85">
      <w:pPr>
        <w:spacing w:before="100" w:beforeAutospacing="1" w:after="100" w:afterAutospacing="1" w:line="300" w:lineRule="atLeast"/>
        <w:rPr>
          <w:rFonts w:ascii="Poppins Light" w:hAnsi="Poppins Light" w:cs="Poppins Light"/>
          <w:color w:val="000000"/>
          <w:sz w:val="18"/>
          <w:szCs w:val="18"/>
        </w:rPr>
      </w:pPr>
      <w:r w:rsidRPr="00064B85">
        <w:rPr>
          <w:rFonts w:ascii="Poppins Light" w:hAnsi="Poppins Light" w:cs="Poppins Light"/>
          <w:color w:val="000000"/>
          <w:sz w:val="18"/>
          <w:szCs w:val="18"/>
        </w:rPr>
        <w:lastRenderedPageBreak/>
        <w:t xml:space="preserve">Darüber hinaus hat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seine Partnerstrategie in den vergangenen Jahren kontinuierlich erweitert. Dazu zählen praxisorientierte Trainings, Zertifizierungsprogramme, attraktive </w:t>
      </w:r>
      <w:proofErr w:type="spellStart"/>
      <w:r w:rsidRPr="00064B85">
        <w:rPr>
          <w:rFonts w:ascii="Poppins Light" w:hAnsi="Poppins Light" w:cs="Poppins Light"/>
          <w:color w:val="000000"/>
          <w:sz w:val="18"/>
          <w:szCs w:val="18"/>
        </w:rPr>
        <w:t>Managed</w:t>
      </w:r>
      <w:proofErr w:type="spellEnd"/>
      <w:r w:rsidRPr="00064B85">
        <w:rPr>
          <w:rFonts w:ascii="Poppins Light" w:hAnsi="Poppins Light" w:cs="Poppins Light"/>
          <w:color w:val="000000"/>
          <w:sz w:val="18"/>
          <w:szCs w:val="18"/>
        </w:rPr>
        <w:t xml:space="preserve">-Service-Modelle sowie die Möglichkeit, </w:t>
      </w:r>
      <w:proofErr w:type="spellStart"/>
      <w:r w:rsidRPr="00064B85">
        <w:rPr>
          <w:rFonts w:ascii="Poppins Light" w:hAnsi="Poppins Light" w:cs="Poppins Light"/>
          <w:color w:val="000000"/>
          <w:sz w:val="18"/>
          <w:szCs w:val="18"/>
        </w:rPr>
        <w:t>Managed</w:t>
      </w:r>
      <w:proofErr w:type="spellEnd"/>
      <w:r w:rsidRPr="00064B85">
        <w:rPr>
          <w:rFonts w:ascii="Poppins Light" w:hAnsi="Poppins Light" w:cs="Poppins Light"/>
          <w:color w:val="000000"/>
          <w:sz w:val="18"/>
          <w:szCs w:val="18"/>
        </w:rPr>
        <w:t xml:space="preserve"> </w:t>
      </w:r>
      <w:proofErr w:type="spellStart"/>
      <w:r w:rsidRPr="00064B85">
        <w:rPr>
          <w:rFonts w:ascii="Poppins Light" w:hAnsi="Poppins Light" w:cs="Poppins Light"/>
          <w:color w:val="000000"/>
          <w:sz w:val="18"/>
          <w:szCs w:val="18"/>
        </w:rPr>
        <w:t>Detection</w:t>
      </w:r>
      <w:proofErr w:type="spellEnd"/>
      <w:r w:rsidRPr="00064B85">
        <w:rPr>
          <w:rFonts w:ascii="Poppins Light" w:hAnsi="Poppins Light" w:cs="Poppins Light"/>
          <w:color w:val="000000"/>
          <w:sz w:val="18"/>
          <w:szCs w:val="18"/>
        </w:rPr>
        <w:t xml:space="preserve"> and Response (MDR)-Leistungen auf Basis der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-Plattform anzubieten. </w:t>
      </w:r>
    </w:p>
    <w:p w14:paraId="767F866E" w14:textId="77777777" w:rsidR="00064B85" w:rsidRPr="00064B85" w:rsidRDefault="00064B85" w:rsidP="00064B85">
      <w:pPr>
        <w:spacing w:before="100" w:beforeAutospacing="1" w:after="100" w:afterAutospacing="1" w:line="300" w:lineRule="atLeast"/>
        <w:outlineLvl w:val="1"/>
        <w:rPr>
          <w:rFonts w:ascii="Poppins Light" w:hAnsi="Poppins Light" w:cs="Poppins Light"/>
          <w:caps/>
          <w:color w:val="000000"/>
          <w:sz w:val="30"/>
          <w:szCs w:val="30"/>
        </w:rPr>
      </w:pPr>
      <w:r w:rsidRPr="00064B85">
        <w:rPr>
          <w:rFonts w:ascii="Poppins Light" w:hAnsi="Poppins Light" w:cs="Poppins Light"/>
          <w:caps/>
          <w:color w:val="000000"/>
          <w:sz w:val="30"/>
          <w:szCs w:val="30"/>
        </w:rPr>
        <w:t>Made in Germany als Beratungsvorteil</w:t>
      </w:r>
    </w:p>
    <w:p w14:paraId="15551CAE" w14:textId="77777777" w:rsidR="00064B85" w:rsidRPr="00064B85" w:rsidRDefault="00064B85" w:rsidP="00064B85">
      <w:pPr>
        <w:spacing w:before="100" w:beforeAutospacing="1" w:after="100" w:afterAutospacing="1" w:line="300" w:lineRule="atLeast"/>
        <w:rPr>
          <w:rFonts w:ascii="Poppins Light" w:hAnsi="Poppins Light" w:cs="Poppins Light"/>
          <w:color w:val="000000"/>
          <w:sz w:val="18"/>
          <w:szCs w:val="18"/>
        </w:rPr>
      </w:pPr>
      <w:r w:rsidRPr="00064B85">
        <w:rPr>
          <w:rFonts w:ascii="Poppins Light" w:hAnsi="Poppins Light" w:cs="Poppins Light"/>
          <w:color w:val="000000"/>
          <w:sz w:val="18"/>
          <w:szCs w:val="18"/>
        </w:rPr>
        <w:t xml:space="preserve">Ein weiterer Baustein der Wachstumsstrategie ist die klare Positionierung von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als </w:t>
      </w:r>
      <w:proofErr w:type="spellStart"/>
      <w:r w:rsidRPr="00064B85">
        <w:rPr>
          <w:rFonts w:ascii="Poppins Light" w:hAnsi="Poppins Light" w:cs="Poppins Light"/>
          <w:color w:val="000000"/>
          <w:sz w:val="18"/>
          <w:szCs w:val="18"/>
        </w:rPr>
        <w:t>Cybersecurity</w:t>
      </w:r>
      <w:proofErr w:type="spellEnd"/>
      <w:r w:rsidRPr="00064B85">
        <w:rPr>
          <w:rFonts w:ascii="Poppins Light" w:hAnsi="Poppins Light" w:cs="Poppins Light"/>
          <w:color w:val="000000"/>
          <w:sz w:val="18"/>
          <w:szCs w:val="18"/>
        </w:rPr>
        <w:t>-Anbieter Made in Germany. Die Plattform wird vollständig in Deutschland entwickelt und orientiert sich konsequent an europäischen Datenschutz- und Compliance-Anforderungen. Damit greift das Unternehmen Themen auf, die sowohl für Kunden als auch für Channel-Partner zunehmend an Bedeutung gewinnen.</w:t>
      </w:r>
    </w:p>
    <w:p w14:paraId="7D39F648" w14:textId="77777777" w:rsidR="00064B85" w:rsidRPr="00064B85" w:rsidRDefault="00064B85" w:rsidP="00064B85">
      <w:pPr>
        <w:spacing w:before="100" w:beforeAutospacing="1" w:after="100" w:afterAutospacing="1" w:line="300" w:lineRule="atLeast"/>
        <w:rPr>
          <w:rFonts w:ascii="Poppins Light" w:hAnsi="Poppins Light" w:cs="Poppins Light"/>
          <w:color w:val="000000"/>
          <w:sz w:val="18"/>
          <w:szCs w:val="18"/>
        </w:rPr>
      </w:pPr>
      <w:r w:rsidRPr="00064B85">
        <w:rPr>
          <w:rFonts w:ascii="Poppins Light" w:hAnsi="Poppins Light" w:cs="Poppins Light"/>
          <w:color w:val="000000"/>
          <w:sz w:val="18"/>
          <w:szCs w:val="18"/>
        </w:rPr>
        <w:t xml:space="preserve">„Für viele Unternehmen sind digitale Souveränität, Datenschutz und Compliance heute zentrale Kriterien bei der Auswahl von </w:t>
      </w:r>
      <w:proofErr w:type="spellStart"/>
      <w:r w:rsidRPr="00064B85">
        <w:rPr>
          <w:rFonts w:ascii="Poppins Light" w:hAnsi="Poppins Light" w:cs="Poppins Light"/>
          <w:color w:val="000000"/>
          <w:sz w:val="18"/>
          <w:szCs w:val="18"/>
        </w:rPr>
        <w:t>Cybersecurity</w:t>
      </w:r>
      <w:proofErr w:type="spellEnd"/>
      <w:r w:rsidRPr="00064B85">
        <w:rPr>
          <w:rFonts w:ascii="Poppins Light" w:hAnsi="Poppins Light" w:cs="Poppins Light"/>
          <w:color w:val="000000"/>
          <w:sz w:val="18"/>
          <w:szCs w:val="18"/>
        </w:rPr>
        <w:t xml:space="preserve">-Lösungen. Deshalb entwickeln wir unsere Plattform vollständig in Deutschland und richten sie konsequent an europäischen Datenschutz- und Compliance-Anforderungen aus. Gemeinsam mit unseren Partnern übersetzen wir diese Anforderungen in praxistaugliche Sicherheits- und </w:t>
      </w:r>
      <w:proofErr w:type="spellStart"/>
      <w:r w:rsidRPr="00064B85">
        <w:rPr>
          <w:rFonts w:ascii="Poppins Light" w:hAnsi="Poppins Light" w:cs="Poppins Light"/>
          <w:color w:val="000000"/>
          <w:sz w:val="18"/>
          <w:szCs w:val="18"/>
        </w:rPr>
        <w:t>Managed</w:t>
      </w:r>
      <w:proofErr w:type="spellEnd"/>
      <w:r w:rsidRPr="00064B85">
        <w:rPr>
          <w:rFonts w:ascii="Poppins Light" w:hAnsi="Poppins Light" w:cs="Poppins Light"/>
          <w:color w:val="000000"/>
          <w:sz w:val="18"/>
          <w:szCs w:val="18"/>
        </w:rPr>
        <w:t xml:space="preserve">-Service-Konzepte für den Mittelstand“, sagt Max Tarantik, COO von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w:t>
      </w:r>
    </w:p>
    <w:p w14:paraId="33AA1567" w14:textId="77777777" w:rsidR="00064B85" w:rsidRPr="00064B85" w:rsidRDefault="00064B85" w:rsidP="00064B85">
      <w:pPr>
        <w:spacing w:before="100" w:beforeAutospacing="1" w:after="100" w:afterAutospacing="1" w:line="300" w:lineRule="atLeast"/>
        <w:rPr>
          <w:rFonts w:ascii="Poppins Light" w:hAnsi="Poppins Light" w:cs="Poppins Light"/>
          <w:color w:val="000000"/>
          <w:sz w:val="18"/>
          <w:szCs w:val="18"/>
        </w:rPr>
      </w:pPr>
      <w:r w:rsidRPr="00064B85">
        <w:rPr>
          <w:rFonts w:ascii="Poppins Light" w:hAnsi="Poppins Light" w:cs="Poppins Light"/>
          <w:color w:val="000000"/>
          <w:sz w:val="18"/>
          <w:szCs w:val="18"/>
        </w:rPr>
        <w:t xml:space="preserve">Mit Trainings, Zertifizierungen, MDR-Services und einer konsequenten Partnerorientierung investiert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kontinuierlich in den Ausbau seines Channel-Ökosystems. Die Top-Ten-Platzierung bei den Channel Excellence Awards 2026 zeigt, dass dieser Kurs von Systemhäusern, MSPs und Fachhändlern positiv bewertet wird und sich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zunehmend als feste Größe im Security-Channel etabliert. </w:t>
      </w:r>
    </w:p>
    <w:p w14:paraId="568DDC21" w14:textId="77777777" w:rsidR="00FE4BF6" w:rsidRPr="00FE4BF6" w:rsidRDefault="00FE4BF6" w:rsidP="00FE4BF6">
      <w:pPr>
        <w:spacing w:before="100" w:beforeAutospacing="1" w:after="100" w:afterAutospacing="1" w:line="300" w:lineRule="atLeast"/>
        <w:rPr>
          <w:rFonts w:ascii="Poppins Light" w:hAnsi="Poppins Light" w:cs="Poppins Light"/>
          <w:b/>
          <w:bCs/>
          <w:i/>
          <w:iCs/>
          <w:color w:val="000000"/>
          <w:sz w:val="18"/>
          <w:szCs w:val="18"/>
        </w:rPr>
      </w:pPr>
    </w:p>
    <w:p w14:paraId="4C23BA8D" w14:textId="13511B1E" w:rsidR="00D26455" w:rsidRPr="00064B85" w:rsidRDefault="00000000">
      <w:pPr>
        <w:keepNext/>
        <w:spacing w:before="120" w:after="160" w:line="280" w:lineRule="auto"/>
        <w:rPr>
          <w:rFonts w:ascii="Poppins Light" w:hAnsi="Poppins Light" w:cs="Poppins Light"/>
          <w:color w:val="000000"/>
          <w:sz w:val="18"/>
          <w:szCs w:val="18"/>
        </w:rPr>
      </w:pPr>
      <w:r>
        <w:rPr>
          <w:rFonts w:ascii="Poppins Medium" w:hAnsi="Poppins Medium" w:cs="Poppins Medium"/>
          <w:caps/>
          <w:color w:val="E91E63"/>
        </w:rPr>
        <w:t>Über Enginsight</w:t>
      </w:r>
    </w:p>
    <w:p w14:paraId="7490D6CC" w14:textId="77777777" w:rsidR="00064B85" w:rsidRDefault="00064B85" w:rsidP="00064B85">
      <w:pPr>
        <w:shd w:val="clear" w:color="auto" w:fill="FFFFFF"/>
        <w:spacing w:after="40"/>
        <w:rPr>
          <w:rFonts w:ascii="Poppins Light" w:hAnsi="Poppins Light" w:cs="Poppins Light"/>
          <w:color w:val="000000"/>
          <w:sz w:val="18"/>
          <w:szCs w:val="18"/>
        </w:rPr>
      </w:pP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bietet eine umfassende </w:t>
      </w:r>
      <w:proofErr w:type="spellStart"/>
      <w:r w:rsidRPr="00064B85">
        <w:rPr>
          <w:rFonts w:ascii="Poppins Light" w:hAnsi="Poppins Light" w:cs="Poppins Light"/>
          <w:color w:val="000000"/>
          <w:sz w:val="18"/>
          <w:szCs w:val="18"/>
        </w:rPr>
        <w:t>Cybersecurity</w:t>
      </w:r>
      <w:proofErr w:type="spellEnd"/>
      <w:r w:rsidRPr="00064B85">
        <w:rPr>
          <w:rFonts w:ascii="Poppins Light" w:hAnsi="Poppins Light" w:cs="Poppins Light"/>
          <w:color w:val="000000"/>
          <w:sz w:val="18"/>
          <w:szCs w:val="18"/>
        </w:rPr>
        <w:t xml:space="preserve">-Lösung für Unternehmen mit gewachsener IT-Landschaft. 2017 in Jena gegründet, ist die vollständig inhouse entwickelte Software heute bei mehreren hundert Endkunden im Einsatz, vom regional tätigen Mittelständler bis zur Unternehmensgruppe mit eigener IT-Sicherheitsorganisation. Die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-Plattform vereint Schwachstellenmanagement, Asset Monitoring, Angriffserkennung, Compliance-Analysen und automatisierte Abwehrmaßnahmen in einer einzigen Lösung. Unter dem Leitmotiv „Unsichtbares sichtbar machen" und „Unsicheres sicher machen" kombiniert </w:t>
      </w:r>
      <w:proofErr w:type="spellStart"/>
      <w:r w:rsidRPr="00064B85">
        <w:rPr>
          <w:rFonts w:ascii="Poppins Light" w:hAnsi="Poppins Light" w:cs="Poppins Light"/>
          <w:color w:val="000000"/>
          <w:sz w:val="18"/>
          <w:szCs w:val="18"/>
        </w:rPr>
        <w:t>Enginsight</w:t>
      </w:r>
      <w:proofErr w:type="spellEnd"/>
      <w:r w:rsidRPr="00064B85">
        <w:rPr>
          <w:rFonts w:ascii="Poppins Light" w:hAnsi="Poppins Light" w:cs="Poppins Light"/>
          <w:color w:val="000000"/>
          <w:sz w:val="18"/>
          <w:szCs w:val="18"/>
        </w:rPr>
        <w:t xml:space="preserve"> Transparenz, Automatisierung und eine praxisnahe Sicherheitsarchitektur, um Sicherheit </w:t>
      </w:r>
      <w:proofErr w:type="gramStart"/>
      <w:r w:rsidRPr="00064B85">
        <w:rPr>
          <w:rFonts w:ascii="Poppins Light" w:hAnsi="Poppins Light" w:cs="Poppins Light"/>
          <w:color w:val="000000"/>
          <w:sz w:val="18"/>
          <w:szCs w:val="18"/>
        </w:rPr>
        <w:t>über wachsende</w:t>
      </w:r>
      <w:proofErr w:type="gramEnd"/>
      <w:r w:rsidRPr="00064B85">
        <w:rPr>
          <w:rFonts w:ascii="Poppins Light" w:hAnsi="Poppins Light" w:cs="Poppins Light"/>
          <w:color w:val="000000"/>
          <w:sz w:val="18"/>
          <w:szCs w:val="18"/>
        </w:rPr>
        <w:t xml:space="preserve"> Strukturen hinweg effizient und nachhaltig zu betreiben. </w:t>
      </w:r>
      <w:proofErr w:type="spellStart"/>
      <w:r w:rsidRPr="00064B85">
        <w:rPr>
          <w:rFonts w:ascii="Poppins Light" w:hAnsi="Poppins Light" w:cs="Poppins Light"/>
          <w:color w:val="000000"/>
          <w:sz w:val="18"/>
          <w:szCs w:val="18"/>
        </w:rPr>
        <w:t>Cybersecurity</w:t>
      </w:r>
      <w:proofErr w:type="spellEnd"/>
      <w:r w:rsidRPr="00064B85">
        <w:rPr>
          <w:rFonts w:ascii="Poppins Light" w:hAnsi="Poppins Light" w:cs="Poppins Light"/>
          <w:color w:val="000000"/>
          <w:sz w:val="18"/>
          <w:szCs w:val="18"/>
        </w:rPr>
        <w:t xml:space="preserve"> 100 % Made in Germany.</w:t>
      </w:r>
    </w:p>
    <w:p w14:paraId="7B0EF6F9" w14:textId="77777777" w:rsidR="00064B85" w:rsidRPr="00064B85" w:rsidRDefault="00064B85" w:rsidP="00064B85">
      <w:pPr>
        <w:shd w:val="clear" w:color="auto" w:fill="FFFFFF"/>
        <w:spacing w:after="40"/>
        <w:rPr>
          <w:rFonts w:ascii="Poppins Light" w:hAnsi="Poppins Light" w:cs="Poppins Light"/>
          <w:color w:val="000000"/>
          <w:sz w:val="18"/>
          <w:szCs w:val="18"/>
        </w:rPr>
      </w:pPr>
    </w:p>
    <w:p w14:paraId="738D4705" w14:textId="6A656194" w:rsidR="00064B85" w:rsidRDefault="00064B85" w:rsidP="00064B85">
      <w:pPr>
        <w:spacing w:after="200"/>
        <w:rPr>
          <w:rFonts w:ascii="Poppins Light" w:hAnsi="Poppins Light" w:cs="Poppins Light"/>
          <w:color w:val="000000"/>
          <w:sz w:val="18"/>
          <w:szCs w:val="18"/>
        </w:rPr>
      </w:pPr>
      <w:r w:rsidRPr="00064B85">
        <w:rPr>
          <w:rFonts w:ascii="Poppins Light" w:hAnsi="Poppins Light" w:cs="Poppins Light"/>
          <w:color w:val="000000"/>
          <w:sz w:val="18"/>
          <w:szCs w:val="18"/>
        </w:rPr>
        <w:t>Mehr Informationen unter</w:t>
      </w:r>
      <w:r>
        <w:rPr>
          <w:rFonts w:ascii="Poppins Light" w:hAnsi="Poppins Light" w:cs="Poppins Light"/>
          <w:color w:val="000000"/>
          <w:sz w:val="18"/>
          <w:szCs w:val="18"/>
        </w:rPr>
        <w:t>:</w:t>
      </w:r>
      <w:r w:rsidRPr="00064B85">
        <w:rPr>
          <w:rFonts w:ascii="Poppins Light" w:hAnsi="Poppins Light" w:cs="Poppins Light"/>
          <w:color w:val="000000"/>
          <w:sz w:val="18"/>
          <w:szCs w:val="18"/>
        </w:rPr>
        <w:t xml:space="preserve"> </w:t>
      </w:r>
      <w:r w:rsidRPr="00064B85">
        <w:rPr>
          <w:rFonts w:ascii="Poppins Light" w:hAnsi="Poppins Light" w:cs="Poppins Light"/>
          <w:color w:val="000000"/>
          <w:sz w:val="18"/>
          <w:szCs w:val="18"/>
        </w:rPr>
        <w:fldChar w:fldCharType="begin"/>
      </w:r>
      <w:r w:rsidRPr="00064B85">
        <w:rPr>
          <w:rFonts w:ascii="Poppins Light" w:hAnsi="Poppins Light" w:cs="Poppins Light"/>
          <w:color w:val="000000"/>
          <w:sz w:val="18"/>
          <w:szCs w:val="18"/>
        </w:rPr>
        <w:instrText>HYPERLINK "http://www.enginsight.com"</w:instrText>
      </w:r>
      <w:r w:rsidRPr="00064B85">
        <w:rPr>
          <w:rFonts w:ascii="Poppins Light" w:hAnsi="Poppins Light" w:cs="Poppins Light"/>
          <w:color w:val="000000"/>
          <w:sz w:val="18"/>
          <w:szCs w:val="18"/>
        </w:rPr>
      </w:r>
      <w:r w:rsidRPr="00064B85">
        <w:rPr>
          <w:rFonts w:ascii="Poppins Light" w:hAnsi="Poppins Light" w:cs="Poppins Light"/>
          <w:color w:val="000000"/>
          <w:sz w:val="18"/>
          <w:szCs w:val="18"/>
        </w:rPr>
        <w:fldChar w:fldCharType="separate"/>
      </w:r>
      <w:r w:rsidRPr="00064B85">
        <w:rPr>
          <w:rFonts w:ascii="Poppins Light" w:hAnsi="Poppins Light" w:cs="Poppins Light"/>
          <w:color w:val="000000"/>
          <w:sz w:val="18"/>
          <w:szCs w:val="18"/>
        </w:rPr>
        <w:t>www.enginsight.com</w:t>
      </w:r>
      <w:r w:rsidRPr="00064B85">
        <w:rPr>
          <w:rFonts w:ascii="Poppins Light" w:hAnsi="Poppins Light" w:cs="Poppins Light"/>
          <w:color w:val="000000"/>
          <w:sz w:val="18"/>
          <w:szCs w:val="18"/>
        </w:rPr>
        <w:fldChar w:fldCharType="end"/>
      </w:r>
      <w:r w:rsidRPr="00064B85">
        <w:rPr>
          <w:rFonts w:ascii="Poppins Light" w:hAnsi="Poppins Light" w:cs="Poppins Light"/>
          <w:color w:val="000000"/>
          <w:sz w:val="18"/>
          <w:szCs w:val="18"/>
        </w:rPr>
        <w:t xml:space="preserve">. </w:t>
      </w:r>
    </w:p>
    <w:p w14:paraId="549B7402" w14:textId="5DB131D2" w:rsidR="00D26455" w:rsidRDefault="00000000">
      <w:pPr>
        <w:keepNext/>
        <w:spacing w:before="120" w:after="120" w:line="280" w:lineRule="auto"/>
      </w:pPr>
      <w:r>
        <w:rPr>
          <w:rFonts w:ascii="Poppins Medium" w:hAnsi="Poppins Medium" w:cs="Poppins Medium"/>
          <w:caps/>
          <w:color w:val="E91E63"/>
        </w:rPr>
        <w:lastRenderedPageBreak/>
        <w:t>Pressekontakt</w:t>
      </w:r>
    </w:p>
    <w:p w14:paraId="6ABE5AAC" w14:textId="77777777" w:rsidR="00D26455" w:rsidRDefault="00000000">
      <w:pPr>
        <w:spacing w:after="60" w:line="280" w:lineRule="auto"/>
      </w:pPr>
      <w:r>
        <w:rPr>
          <w:rFonts w:ascii="Poppins Light" w:hAnsi="Poppins Light" w:cs="Poppins Light"/>
          <w:b/>
          <w:bCs/>
          <w:color w:val="000000"/>
          <w:sz w:val="18"/>
          <w:szCs w:val="18"/>
        </w:rPr>
        <w:t>Sabine Kuch</w:t>
      </w:r>
    </w:p>
    <w:p w14:paraId="23A9728B" w14:textId="77777777" w:rsidR="00D26455" w:rsidRDefault="00000000">
      <w:pPr>
        <w:spacing w:after="60" w:line="280" w:lineRule="auto"/>
      </w:pPr>
      <w:r>
        <w:rPr>
          <w:rFonts w:ascii="Poppins Light" w:hAnsi="Poppins Light" w:cs="Poppins Light"/>
          <w:color w:val="000000"/>
          <w:sz w:val="18"/>
          <w:szCs w:val="18"/>
        </w:rPr>
        <w:t>Enginsight GmbH</w:t>
      </w:r>
    </w:p>
    <w:p w14:paraId="369C1437" w14:textId="77777777" w:rsidR="00D26455" w:rsidRDefault="00000000">
      <w:pPr>
        <w:spacing w:after="60" w:line="280" w:lineRule="auto"/>
      </w:pPr>
      <w:r>
        <w:rPr>
          <w:rFonts w:ascii="Poppins Light" w:hAnsi="Poppins Light" w:cs="Poppins Light"/>
          <w:color w:val="000000"/>
          <w:sz w:val="18"/>
          <w:szCs w:val="18"/>
        </w:rPr>
        <w:t>sabine.kuch[at]enginsight.com</w:t>
      </w:r>
    </w:p>
    <w:p w14:paraId="1CC05408" w14:textId="3DD9DFA4" w:rsidR="00D26455" w:rsidRDefault="00064B85">
      <w:pPr>
        <w:spacing w:after="320" w:line="280" w:lineRule="auto"/>
      </w:pPr>
      <w:r>
        <w:rPr>
          <w:rFonts w:ascii="Poppins Light" w:hAnsi="Poppins Light" w:cs="Poppins Light"/>
          <w:color w:val="54595F"/>
          <w:sz w:val="18"/>
          <w:szCs w:val="18"/>
        </w:rPr>
        <w:t>www.</w:t>
      </w:r>
      <w:r w:rsidR="00000000">
        <w:rPr>
          <w:rFonts w:ascii="Poppins Light" w:hAnsi="Poppins Light" w:cs="Poppins Light"/>
          <w:color w:val="54595F"/>
          <w:sz w:val="18"/>
          <w:szCs w:val="18"/>
        </w:rPr>
        <w:t>enginsight.com</w:t>
      </w:r>
    </w:p>
    <w:p w14:paraId="1964666A" w14:textId="77777777" w:rsidR="00D26455" w:rsidRDefault="00000000">
      <w:pPr>
        <w:pBdr>
          <w:top w:val="single" w:sz="4" w:space="4" w:color="CCCCCC"/>
        </w:pBdr>
        <w:spacing w:before="200" w:line="240" w:lineRule="auto"/>
      </w:pPr>
      <w:r>
        <w:rPr>
          <w:rFonts w:ascii="Poppins Light" w:hAnsi="Poppins Light" w:cs="Poppins Light"/>
          <w:i/>
          <w:iCs/>
          <w:color w:val="54595F"/>
          <w:sz w:val="14"/>
          <w:szCs w:val="14"/>
        </w:rPr>
        <w:t>*Wir verzichten zugunsten der Lesbarkeit auf die gendergerechte Schreibweise; weisen aber an dieser Stelle ausdrücklich darauf hin, dass „Kunde“, „Partner“ etc. alle Geschlechtsidentitäten einbezieht.</w:t>
      </w:r>
    </w:p>
    <w:sectPr w:rsidR="00D26455" w:rsidSect="0007767B">
      <w:headerReference w:type="default" r:id="rId10"/>
      <w:footerReference w:type="default" r:id="rId11"/>
      <w:pgSz w:w="11906" w:h="16838"/>
      <w:pgMar w:top="64" w:right="1418" w:bottom="1134" w:left="1418" w:header="2608"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855BDB" w14:textId="77777777" w:rsidR="00F227A9" w:rsidRDefault="00F227A9" w:rsidP="006F1D54">
      <w:pPr>
        <w:spacing w:line="240" w:lineRule="auto"/>
      </w:pPr>
      <w:r>
        <w:separator/>
      </w:r>
    </w:p>
  </w:endnote>
  <w:endnote w:type="continuationSeparator" w:id="0">
    <w:p w14:paraId="3DECD64D" w14:textId="77777777" w:rsidR="00F227A9" w:rsidRDefault="00F227A9" w:rsidP="006F1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Poppins Medium">
    <w:panose1 w:val="00000600000000000000"/>
    <w:charset w:val="4D"/>
    <w:family w:val="auto"/>
    <w:pitch w:val="variable"/>
    <w:sig w:usb0="00008007" w:usb1="00000000" w:usb2="00000000" w:usb3="00000000" w:csb0="00000093" w:csb1="00000000"/>
  </w:font>
  <w:font w:name="Poppins">
    <w:panose1 w:val="00000500000000000000"/>
    <w:charset w:val="4D"/>
    <w:family w:val="auto"/>
    <w:pitch w:val="variable"/>
    <w:sig w:usb0="00008007" w:usb1="00000000" w:usb2="00000000" w:usb3="00000000" w:csb0="00000093" w:csb1="00000000"/>
  </w:font>
  <w:font w:name="Poppins Light">
    <w:panose1 w:val="000004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Poppins Light" w:hAnsi="Poppins Light" w:cs="Poppins Light"/>
        <w:sz w:val="14"/>
        <w:szCs w:val="14"/>
      </w:rPr>
      <w:id w:val="887840559"/>
      <w:docPartObj>
        <w:docPartGallery w:val="Page Numbers (Bottom of Page)"/>
        <w:docPartUnique/>
      </w:docPartObj>
    </w:sdtPr>
    <w:sdtContent>
      <w:sdt>
        <w:sdtPr>
          <w:rPr>
            <w:rFonts w:ascii="Poppins Light" w:hAnsi="Poppins Light" w:cs="Poppins Light"/>
            <w:sz w:val="14"/>
            <w:szCs w:val="14"/>
          </w:rPr>
          <w:id w:val="-1769616900"/>
          <w:docPartObj>
            <w:docPartGallery w:val="Page Numbers (Top of Page)"/>
            <w:docPartUnique/>
          </w:docPartObj>
        </w:sdtPr>
        <w:sdtContent>
          <w:p w14:paraId="68B5508C" w14:textId="77777777" w:rsidR="00027E97" w:rsidRPr="009700CE" w:rsidRDefault="00027E97">
            <w:pPr>
              <w:pStyle w:val="Fuzeile"/>
              <w:jc w:val="right"/>
              <w:rPr>
                <w:rFonts w:ascii="Poppins Light" w:hAnsi="Poppins Light" w:cs="Poppins Light"/>
                <w:sz w:val="14"/>
                <w:szCs w:val="14"/>
              </w:rPr>
            </w:pPr>
            <w:r w:rsidRPr="009700CE">
              <w:rPr>
                <w:rFonts w:ascii="Poppins Light" w:hAnsi="Poppins Light" w:cs="Poppins Light"/>
                <w:sz w:val="14"/>
                <w:szCs w:val="14"/>
              </w:rPr>
              <w:t xml:space="preserve">Seite </w:t>
            </w:r>
            <w:r w:rsidRPr="009700CE">
              <w:rPr>
                <w:rFonts w:ascii="Poppins Light" w:hAnsi="Poppins Light" w:cs="Poppins Light"/>
                <w:sz w:val="14"/>
                <w:szCs w:val="14"/>
              </w:rPr>
              <w:fldChar w:fldCharType="begin"/>
            </w:r>
            <w:r w:rsidRPr="009700CE">
              <w:rPr>
                <w:rFonts w:ascii="Poppins Light" w:hAnsi="Poppins Light" w:cs="Poppins Light"/>
                <w:sz w:val="14"/>
                <w:szCs w:val="14"/>
              </w:rPr>
              <w:instrText>PAGE</w:instrText>
            </w:r>
            <w:r w:rsidRPr="009700CE">
              <w:rPr>
                <w:rFonts w:ascii="Poppins Light" w:hAnsi="Poppins Light" w:cs="Poppins Light"/>
                <w:sz w:val="14"/>
                <w:szCs w:val="14"/>
              </w:rPr>
              <w:fldChar w:fldCharType="separate"/>
            </w:r>
            <w:r w:rsidR="004F1FCE">
              <w:rPr>
                <w:rFonts w:ascii="Poppins Light" w:hAnsi="Poppins Light" w:cs="Poppins Light"/>
                <w:noProof/>
                <w:sz w:val="14"/>
                <w:szCs w:val="14"/>
              </w:rPr>
              <w:t>3</w:t>
            </w:r>
            <w:r w:rsidRPr="009700CE">
              <w:rPr>
                <w:rFonts w:ascii="Poppins Light" w:hAnsi="Poppins Light" w:cs="Poppins Light"/>
                <w:sz w:val="14"/>
                <w:szCs w:val="14"/>
              </w:rPr>
              <w:fldChar w:fldCharType="end"/>
            </w:r>
            <w:r w:rsidRPr="009700CE">
              <w:rPr>
                <w:rFonts w:ascii="Poppins Light" w:hAnsi="Poppins Light" w:cs="Poppins Light"/>
                <w:sz w:val="14"/>
                <w:szCs w:val="14"/>
              </w:rPr>
              <w:t xml:space="preserve"> von </w:t>
            </w:r>
            <w:r w:rsidRPr="009700CE">
              <w:rPr>
                <w:rFonts w:ascii="Poppins Light" w:hAnsi="Poppins Light" w:cs="Poppins Light"/>
                <w:sz w:val="14"/>
                <w:szCs w:val="14"/>
              </w:rPr>
              <w:fldChar w:fldCharType="begin"/>
            </w:r>
            <w:r w:rsidRPr="009700CE">
              <w:rPr>
                <w:rFonts w:ascii="Poppins Light" w:hAnsi="Poppins Light" w:cs="Poppins Light"/>
                <w:sz w:val="14"/>
                <w:szCs w:val="14"/>
              </w:rPr>
              <w:instrText>NUMPAGES</w:instrText>
            </w:r>
            <w:r w:rsidRPr="009700CE">
              <w:rPr>
                <w:rFonts w:ascii="Poppins Light" w:hAnsi="Poppins Light" w:cs="Poppins Light"/>
                <w:sz w:val="14"/>
                <w:szCs w:val="14"/>
              </w:rPr>
              <w:fldChar w:fldCharType="separate"/>
            </w:r>
            <w:r w:rsidR="004F1FCE">
              <w:rPr>
                <w:rFonts w:ascii="Poppins Light" w:hAnsi="Poppins Light" w:cs="Poppins Light"/>
                <w:noProof/>
                <w:sz w:val="14"/>
                <w:szCs w:val="14"/>
              </w:rPr>
              <w:t>3</w:t>
            </w:r>
            <w:r w:rsidRPr="009700CE">
              <w:rPr>
                <w:rFonts w:ascii="Poppins Light" w:hAnsi="Poppins Light" w:cs="Poppins Light"/>
                <w:sz w:val="14"/>
                <w:szCs w:val="14"/>
              </w:rPr>
              <w:fldChar w:fldCharType="end"/>
            </w:r>
          </w:p>
        </w:sdtContent>
      </w:sdt>
    </w:sdtContent>
  </w:sdt>
  <w:p w14:paraId="0EE00260" w14:textId="77777777" w:rsidR="006F1D54" w:rsidRPr="009700CE" w:rsidRDefault="006F1D54">
    <w:pPr>
      <w:pStyle w:val="Fuzeile"/>
      <w:rPr>
        <w:rFonts w:ascii="Poppins Light" w:hAnsi="Poppins Light" w:cs="Poppins Light"/>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D7729F" w14:textId="77777777" w:rsidR="00F227A9" w:rsidRDefault="00F227A9" w:rsidP="006F1D54">
      <w:pPr>
        <w:spacing w:line="240" w:lineRule="auto"/>
      </w:pPr>
      <w:r>
        <w:separator/>
      </w:r>
    </w:p>
  </w:footnote>
  <w:footnote w:type="continuationSeparator" w:id="0">
    <w:p w14:paraId="5ED00596" w14:textId="77777777" w:rsidR="00F227A9" w:rsidRDefault="00F227A9" w:rsidP="006F1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5C85C8" w14:textId="77777777" w:rsidR="00211552" w:rsidRDefault="00AC4E8E">
    <w:pPr>
      <w:pStyle w:val="Kopfzeile"/>
    </w:pPr>
    <w:r>
      <w:rPr>
        <w:noProof/>
      </w:rPr>
      <w:drawing>
        <wp:anchor distT="0" distB="0" distL="114300" distR="114300" simplePos="0" relativeHeight="251658240" behindDoc="1" locked="0" layoutInCell="1" allowOverlap="1" wp14:anchorId="0A65E7C2" wp14:editId="0EEE09A8">
          <wp:simplePos x="0" y="0"/>
          <wp:positionH relativeFrom="column">
            <wp:posOffset>-910055</wp:posOffset>
          </wp:positionH>
          <wp:positionV relativeFrom="paragraph">
            <wp:posOffset>-1675331</wp:posOffset>
          </wp:positionV>
          <wp:extent cx="7559662" cy="1069326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62" cy="10693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4F7E0A"/>
    <w:multiLevelType w:val="multilevel"/>
    <w:tmpl w:val="4174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7615D9"/>
    <w:multiLevelType w:val="multilevel"/>
    <w:tmpl w:val="A188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9441845">
    <w:abstractNumId w:val="0"/>
  </w:num>
  <w:num w:numId="2" w16cid:durableId="20494827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092"/>
    <w:rsid w:val="00027E97"/>
    <w:rsid w:val="00064B85"/>
    <w:rsid w:val="00077092"/>
    <w:rsid w:val="0007767B"/>
    <w:rsid w:val="00097833"/>
    <w:rsid w:val="000E7725"/>
    <w:rsid w:val="001F2929"/>
    <w:rsid w:val="00211552"/>
    <w:rsid w:val="00277C10"/>
    <w:rsid w:val="002C56DD"/>
    <w:rsid w:val="002F1181"/>
    <w:rsid w:val="00311639"/>
    <w:rsid w:val="00367C97"/>
    <w:rsid w:val="00383D06"/>
    <w:rsid w:val="0039466C"/>
    <w:rsid w:val="003D260E"/>
    <w:rsid w:val="003F3792"/>
    <w:rsid w:val="00411B0F"/>
    <w:rsid w:val="00413590"/>
    <w:rsid w:val="00446EDA"/>
    <w:rsid w:val="0045193F"/>
    <w:rsid w:val="00476A0B"/>
    <w:rsid w:val="004A7617"/>
    <w:rsid w:val="004F1FCE"/>
    <w:rsid w:val="005F14B3"/>
    <w:rsid w:val="0061547A"/>
    <w:rsid w:val="00625C7C"/>
    <w:rsid w:val="00640CC5"/>
    <w:rsid w:val="006519AA"/>
    <w:rsid w:val="00657F81"/>
    <w:rsid w:val="00694F6D"/>
    <w:rsid w:val="006C38D0"/>
    <w:rsid w:val="006D5582"/>
    <w:rsid w:val="006F1D54"/>
    <w:rsid w:val="00763A4C"/>
    <w:rsid w:val="00791B8B"/>
    <w:rsid w:val="008045FA"/>
    <w:rsid w:val="008050CF"/>
    <w:rsid w:val="00822DF8"/>
    <w:rsid w:val="00824C1F"/>
    <w:rsid w:val="00835E23"/>
    <w:rsid w:val="00883FA1"/>
    <w:rsid w:val="008B260B"/>
    <w:rsid w:val="008E3AAC"/>
    <w:rsid w:val="00912ADA"/>
    <w:rsid w:val="00954506"/>
    <w:rsid w:val="009700CE"/>
    <w:rsid w:val="009F3ABE"/>
    <w:rsid w:val="00A07A0E"/>
    <w:rsid w:val="00A214CC"/>
    <w:rsid w:val="00A35ACE"/>
    <w:rsid w:val="00A563D4"/>
    <w:rsid w:val="00A62992"/>
    <w:rsid w:val="00A71789"/>
    <w:rsid w:val="00A80709"/>
    <w:rsid w:val="00A9345D"/>
    <w:rsid w:val="00AC4E8E"/>
    <w:rsid w:val="00AE6827"/>
    <w:rsid w:val="00B12D2F"/>
    <w:rsid w:val="00BB439E"/>
    <w:rsid w:val="00C277D6"/>
    <w:rsid w:val="00C565AF"/>
    <w:rsid w:val="00CC3B34"/>
    <w:rsid w:val="00CD6098"/>
    <w:rsid w:val="00CF1468"/>
    <w:rsid w:val="00D13798"/>
    <w:rsid w:val="00D26455"/>
    <w:rsid w:val="00D8315B"/>
    <w:rsid w:val="00D84339"/>
    <w:rsid w:val="00DD1C4A"/>
    <w:rsid w:val="00E612D1"/>
    <w:rsid w:val="00EA2D68"/>
    <w:rsid w:val="00F021DE"/>
    <w:rsid w:val="00F07DB6"/>
    <w:rsid w:val="00F227A9"/>
    <w:rsid w:val="00F27987"/>
    <w:rsid w:val="00F47CB3"/>
    <w:rsid w:val="00F701CB"/>
    <w:rsid w:val="00F933BF"/>
    <w:rsid w:val="00FB4800"/>
    <w:rsid w:val="00FB6510"/>
    <w:rsid w:val="00FE4B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F2FF5"/>
  <w15:chartTrackingRefBased/>
  <w15:docId w15:val="{584BA701-096D-491E-9D26-82D53F82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552"/>
    <w:pPr>
      <w:spacing w:after="0" w:line="320" w:lineRule="exact"/>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1D5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F1D54"/>
  </w:style>
  <w:style w:type="paragraph" w:styleId="Fuzeile">
    <w:name w:val="footer"/>
    <w:basedOn w:val="Standard"/>
    <w:link w:val="FuzeileZchn"/>
    <w:uiPriority w:val="99"/>
    <w:unhideWhenUsed/>
    <w:rsid w:val="006F1D5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F1D54"/>
  </w:style>
  <w:style w:type="table" w:styleId="Tabellenraster">
    <w:name w:val="Table Grid"/>
    <w:basedOn w:val="NormaleTabelle"/>
    <w:uiPriority w:val="39"/>
    <w:rsid w:val="00F70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NormaleTabelle"/>
    <w:uiPriority w:val="99"/>
    <w:rsid w:val="003D260E"/>
    <w:pPr>
      <w:spacing w:after="0" w:line="240" w:lineRule="auto"/>
    </w:pPr>
    <w:rPr>
      <w:rFonts w:ascii="Roboto Light" w:hAnsi="Roboto Light"/>
    </w:rPr>
    <w:tblPr/>
  </w:style>
  <w:style w:type="table" w:styleId="Gitternetztabelle2Akzent2">
    <w:name w:val="Grid Table 2 Accent 2"/>
    <w:basedOn w:val="NormaleTabelle"/>
    <w:uiPriority w:val="47"/>
    <w:rsid w:val="003D260E"/>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Formatvorlage2">
    <w:name w:val="Formatvorlage2"/>
    <w:basedOn w:val="Tabellendesign"/>
    <w:uiPriority w:val="99"/>
    <w:rsid w:val="00097833"/>
    <w:pPr>
      <w:spacing w:line="240" w:lineRule="auto"/>
    </w:pPr>
    <w:tblPr>
      <w:tblStyleRowBandSize w:val="1"/>
    </w:tblPr>
    <w:tblStylePr w:type="firstRow">
      <w:pPr>
        <w:jc w:val="center"/>
      </w:pPr>
      <w:rPr>
        <w:rFonts w:ascii="Roboto Medium" w:hAnsi="Roboto Medium"/>
        <w:b/>
        <w:color w:val="FFFFFF" w:themeColor="background1"/>
        <w:sz w:val="18"/>
      </w:rPr>
      <w:tblPr/>
      <w:tcPr>
        <w:tcBorders>
          <w:top w:val="nil"/>
          <w:left w:val="nil"/>
          <w:bottom w:val="nil"/>
          <w:right w:val="nil"/>
          <w:insideH w:val="nil"/>
          <w:insideV w:val="single" w:sz="18" w:space="0" w:color="FFFFFF" w:themeColor="background1"/>
          <w:tl2br w:val="nil"/>
          <w:tr2bl w:val="nil"/>
        </w:tcBorders>
        <w:shd w:val="clear" w:color="auto" w:fill="E91E63"/>
      </w:tcPr>
    </w:tblStylePr>
    <w:tblStylePr w:type="firstCol">
      <w:pPr>
        <w:jc w:val="center"/>
      </w:pPr>
      <w:tblPr/>
      <w:tcPr>
        <w:tcBorders>
          <w:right w:val="single" w:sz="18" w:space="0" w:color="54595F"/>
        </w:tcBorders>
      </w:tcPr>
    </w:tblStylePr>
    <w:tblStylePr w:type="band1Horz">
      <w:tblPr/>
      <w:tcPr>
        <w:tcBorders>
          <w:top w:val="nil"/>
          <w:left w:val="nil"/>
          <w:bottom w:val="nil"/>
          <w:right w:val="nil"/>
          <w:insideH w:val="nil"/>
          <w:insideV w:val="nil"/>
          <w:tl2br w:val="nil"/>
          <w:tr2bl w:val="nil"/>
        </w:tcBorders>
        <w:shd w:val="clear" w:color="auto" w:fill="E9EAEB"/>
      </w:tcPr>
    </w:tblStylePr>
    <w:tblStylePr w:type="band2Horz">
      <w:pPr>
        <w:jc w:val="left"/>
      </w:pPr>
      <w:rPr>
        <w:rFonts w:ascii="Roboto Light" w:hAnsi="Roboto Light"/>
        <w:sz w:val="18"/>
      </w:rPr>
      <w:tblPr/>
      <w:tcPr>
        <w:tcBorders>
          <w:top w:val="nil"/>
          <w:left w:val="nil"/>
          <w:bottom w:val="nil"/>
          <w:right w:val="nil"/>
          <w:insideH w:val="nil"/>
          <w:insideV w:val="nil"/>
          <w:tl2br w:val="nil"/>
          <w:tr2bl w:val="nil"/>
        </w:tcBorders>
      </w:tcPr>
    </w:tblStylePr>
  </w:style>
  <w:style w:type="table" w:styleId="Tabellendesign">
    <w:name w:val="Table Theme"/>
    <w:basedOn w:val="NormaleTabelle"/>
    <w:uiPriority w:val="99"/>
    <w:semiHidden/>
    <w:unhideWhenUsed/>
    <w:rsid w:val="00097833"/>
    <w:pPr>
      <w:spacing w:after="0" w:line="3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9345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9345D"/>
    <w:rPr>
      <w:rFonts w:ascii="Segoe UI" w:eastAsia="Times New Roman" w:hAnsi="Segoe UI" w:cs="Segoe UI"/>
      <w:sz w:val="18"/>
      <w:szCs w:val="18"/>
      <w:lang w:eastAsia="de-DE"/>
    </w:rPr>
  </w:style>
  <w:style w:type="character" w:styleId="Hyperlink">
    <w:name w:val="Hyperlink"/>
    <w:basedOn w:val="Absatz-Standardschriftart"/>
    <w:uiPriority w:val="99"/>
    <w:unhideWhenUsed/>
    <w:rsid w:val="00E612D1"/>
    <w:rPr>
      <w:color w:val="0563C1" w:themeColor="hyperlink"/>
      <w:u w:val="single"/>
    </w:rPr>
  </w:style>
  <w:style w:type="character" w:customStyle="1" w:styleId="NichtaufgelsteErwhnung1">
    <w:name w:val="Nicht aufgelöste Erwähnung1"/>
    <w:basedOn w:val="Absatz-Standardschriftart"/>
    <w:uiPriority w:val="99"/>
    <w:semiHidden/>
    <w:unhideWhenUsed/>
    <w:rsid w:val="00E612D1"/>
    <w:rPr>
      <w:color w:val="605E5C"/>
      <w:shd w:val="clear" w:color="auto" w:fill="E1DFDD"/>
    </w:rPr>
  </w:style>
  <w:style w:type="paragraph" w:styleId="KeinLeerraum">
    <w:name w:val="No Spacing"/>
    <w:link w:val="KeinLeerraumZchn"/>
    <w:uiPriority w:val="1"/>
    <w:qFormat/>
    <w:rsid w:val="00211552"/>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211552"/>
    <w:rPr>
      <w:rFonts w:eastAsiaTheme="minorEastAsia"/>
      <w:lang w:eastAsia="de-DE"/>
    </w:rPr>
  </w:style>
  <w:style w:type="paragraph" w:styleId="Listenabsatz">
    <w:name w:val="List Paragraph"/>
    <w:basedOn w:val="Standard"/>
    <w:uiPriority w:val="34"/>
    <w:qFormat/>
    <w:rsid w:val="00367C97"/>
    <w:pPr>
      <w:ind w:left="720"/>
      <w:contextualSpacing/>
    </w:pPr>
  </w:style>
  <w:style w:type="character" w:styleId="NichtaufgelsteErwhnung">
    <w:name w:val="Unresolved Mention"/>
    <w:basedOn w:val="Absatz-Standardschriftart"/>
    <w:uiPriority w:val="99"/>
    <w:semiHidden/>
    <w:unhideWhenUsed/>
    <w:rsid w:val="006D5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4b70dc-15e8-4bd4-95cc-5fc6e5d806b9">
      <Terms xmlns="http://schemas.microsoft.com/office/infopath/2007/PartnerControls"/>
    </lcf76f155ced4ddcb4097134ff3c332f>
    <TaxCatchAll xmlns="67717297-375d-4094-aebf-8df56d003c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B9B091AAB57746A4066DF9540ABAD7" ma:contentTypeVersion="13" ma:contentTypeDescription="Ein neues Dokument erstellen." ma:contentTypeScope="" ma:versionID="06ae1e7c8ef2fc41174655a9771ce1ed">
  <xsd:schema xmlns:xsd="http://www.w3.org/2001/XMLSchema" xmlns:xs="http://www.w3.org/2001/XMLSchema" xmlns:p="http://schemas.microsoft.com/office/2006/metadata/properties" xmlns:ns2="af4b70dc-15e8-4bd4-95cc-5fc6e5d806b9" xmlns:ns3="67717297-375d-4094-aebf-8df56d003c3c" targetNamespace="http://schemas.microsoft.com/office/2006/metadata/properties" ma:root="true" ma:fieldsID="e8f225c759b56d1186ad3a46a5bc45f1" ns2:_="" ns3:_="">
    <xsd:import namespace="af4b70dc-15e8-4bd4-95cc-5fc6e5d806b9"/>
    <xsd:import namespace="67717297-375d-4094-aebf-8df56d003c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b70dc-15e8-4bd4-95cc-5fc6e5d80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d8085f1-c13c-4d6c-82bb-d85fbf6196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717297-375d-4094-aebf-8df56d003c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12bdb93-8031-467a-8c10-fd7e755b6f22}" ma:internalName="TaxCatchAll" ma:showField="CatchAllData" ma:web="67717297-375d-4094-aebf-8df56d00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8498B-877F-4D24-826B-51725BB21A71}">
  <ds:schemaRefs>
    <ds:schemaRef ds:uri="http://schemas.microsoft.com/office/2006/metadata/properties"/>
    <ds:schemaRef ds:uri="http://schemas.microsoft.com/office/infopath/2007/PartnerControls"/>
    <ds:schemaRef ds:uri="af4b70dc-15e8-4bd4-95cc-5fc6e5d806b9"/>
    <ds:schemaRef ds:uri="67717297-375d-4094-aebf-8df56d003c3c"/>
  </ds:schemaRefs>
</ds:datastoreItem>
</file>

<file path=customXml/itemProps2.xml><?xml version="1.0" encoding="utf-8"?>
<ds:datastoreItem xmlns:ds="http://schemas.openxmlformats.org/officeDocument/2006/customXml" ds:itemID="{0C2AAC69-1EAF-4F46-9971-8499E39732D3}">
  <ds:schemaRefs>
    <ds:schemaRef ds:uri="http://schemas.microsoft.com/sharepoint/v3/contenttype/forms"/>
  </ds:schemaRefs>
</ds:datastoreItem>
</file>

<file path=customXml/itemProps3.xml><?xml version="1.0" encoding="utf-8"?>
<ds:datastoreItem xmlns:ds="http://schemas.openxmlformats.org/officeDocument/2006/customXml" ds:itemID="{129E51C9-350A-415B-8128-8940B8483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b70dc-15e8-4bd4-95cc-5fc6e5d806b9"/>
    <ds:schemaRef ds:uri="67717297-375d-4094-aebf-8df56d00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4449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Schulze</dc:creator>
  <cp:keywords/>
  <dc:description/>
  <cp:lastModifiedBy>Sabine Kuch (Extern)</cp:lastModifiedBy>
  <cp:revision>2</cp:revision>
  <cp:lastPrinted>2026-04-30T10:41:00Z</cp:lastPrinted>
  <dcterms:created xsi:type="dcterms:W3CDTF">2026-08-08T14:50:00Z</dcterms:created>
  <dcterms:modified xsi:type="dcterms:W3CDTF">2026-08-08T14:50:00Z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0x010100D7B9B091AAB57746A4066DF9540ABAD7</vt:lpwstr>
  </property>
  <property fmtid="{D5CDD505-2E9C-101B-9397-08002B2CF9AE}" pid="3" name="MediaServiceImageTags">
    <vt:lpwstr/>
  </property>
</Properties>
</file>