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6848079C" w14:textId="1C44FA66" w:rsidR="00BF5413" w:rsidRPr="008B1159" w:rsidRDefault="00BF5413" w:rsidP="00BF5413">
      <w:pPr>
        <w:spacing w:before="100" w:beforeAutospacing="1" w:after="100" w:afterAutospacing="1" w:line="300" w:lineRule="atLeast"/>
        <w:outlineLvl w:val="0"/>
        <w:rPr>
          <w:rFonts w:ascii="Segoe UI" w:hAnsi="Segoe UI" w:cs="Segoe UI"/>
          <w:b/>
          <w:bCs/>
          <w:kern w:val="36"/>
          <w:sz w:val="48"/>
          <w:szCs w:val="48"/>
        </w:rPr>
      </w:pPr>
      <w:proofErr w:type="spellStart"/>
      <w:r w:rsidRPr="00BF5413">
        <w:rPr>
          <w:rFonts w:ascii="Poppins" w:hAnsi="Poppins" w:cs="Poppins"/>
          <w:sz w:val="36"/>
          <w:szCs w:val="36"/>
        </w:rPr>
        <w:t>Enginsight</w:t>
      </w:r>
      <w:proofErr w:type="spellEnd"/>
      <w:r w:rsidRPr="00BF5413">
        <w:rPr>
          <w:rFonts w:ascii="Poppins" w:hAnsi="Poppins" w:cs="Poppins"/>
          <w:sz w:val="36"/>
          <w:szCs w:val="36"/>
        </w:rPr>
        <w:t xml:space="preserve"> </w:t>
      </w:r>
      <w:r w:rsidR="006E56C9" w:rsidRPr="006E56C9">
        <w:rPr>
          <w:rFonts w:ascii="Poppins" w:hAnsi="Poppins" w:cs="Poppins"/>
          <w:sz w:val="36"/>
          <w:szCs w:val="36"/>
        </w:rPr>
        <w:t>optimiert Partnerprogramm für Reseller und MSPs</w:t>
      </w:r>
    </w:p>
    <w:p w14:paraId="0F735262" w14:textId="7E5EA8CB" w:rsidR="006E56C9" w:rsidRPr="00DE2F02" w:rsidRDefault="00BF5413" w:rsidP="006E56C9">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b/>
          <w:bCs/>
          <w:color w:val="000000"/>
          <w:sz w:val="18"/>
          <w:szCs w:val="18"/>
        </w:rPr>
        <w:t xml:space="preserve">Jena, </w:t>
      </w:r>
      <w:r w:rsidR="006E56C9">
        <w:rPr>
          <w:rFonts w:ascii="Poppins Light" w:hAnsi="Poppins Light" w:cs="Poppins Light"/>
          <w:b/>
          <w:bCs/>
          <w:color w:val="000000"/>
          <w:sz w:val="18"/>
          <w:szCs w:val="18"/>
        </w:rPr>
        <w:t>7. Juli</w:t>
      </w:r>
      <w:r w:rsidRPr="00BF5413">
        <w:rPr>
          <w:rFonts w:ascii="Poppins Light" w:hAnsi="Poppins Light" w:cs="Poppins Light"/>
          <w:b/>
          <w:bCs/>
          <w:color w:val="000000"/>
          <w:sz w:val="18"/>
          <w:szCs w:val="18"/>
        </w:rPr>
        <w:t xml:space="preserve"> 2026</w:t>
      </w:r>
      <w:r w:rsidRPr="00BF5413">
        <w:rPr>
          <w:rFonts w:ascii="Poppins Light" w:hAnsi="Poppins Light" w:cs="Poppins Light"/>
          <w:color w:val="000000"/>
          <w:sz w:val="18"/>
          <w:szCs w:val="18"/>
        </w:rPr>
        <w:t xml:space="preserve"> </w:t>
      </w:r>
      <w:r w:rsidR="00DE2F02">
        <w:rPr>
          <w:rFonts w:ascii="Poppins Light" w:hAnsi="Poppins Light" w:cs="Poppins Light"/>
          <w:color w:val="000000"/>
          <w:sz w:val="18"/>
          <w:szCs w:val="18"/>
        </w:rPr>
        <w:t xml:space="preserve">- </w:t>
      </w:r>
      <w:proofErr w:type="spellStart"/>
      <w:r w:rsidR="006E56C9" w:rsidRPr="00DE2F02">
        <w:rPr>
          <w:rFonts w:ascii="Poppins Light" w:hAnsi="Poppins Light" w:cs="Poppins Light"/>
          <w:color w:val="000000"/>
          <w:sz w:val="18"/>
          <w:szCs w:val="18"/>
        </w:rPr>
        <w:t>Enginsight</w:t>
      </w:r>
      <w:proofErr w:type="spellEnd"/>
      <w:r w:rsidR="006E56C9" w:rsidRPr="00DE2F02">
        <w:rPr>
          <w:rFonts w:ascii="Poppins Light" w:hAnsi="Poppins Light" w:cs="Poppins Light"/>
          <w:color w:val="000000"/>
          <w:sz w:val="18"/>
          <w:szCs w:val="18"/>
        </w:rPr>
        <w:t xml:space="preserve">, Anbieter einer zentralen Security-Operations-Plattform, hat ein umfassend überarbeitetes Partnerprogramm vorgestellt. Das neue Modell richtet sich gezielt an Reseller sowie </w:t>
      </w:r>
      <w:proofErr w:type="spellStart"/>
      <w:r w:rsidR="006E56C9" w:rsidRPr="00DE2F02">
        <w:rPr>
          <w:rFonts w:ascii="Poppins Light" w:hAnsi="Poppins Light" w:cs="Poppins Light"/>
          <w:color w:val="000000"/>
          <w:sz w:val="18"/>
          <w:szCs w:val="18"/>
        </w:rPr>
        <w:t>Managed</w:t>
      </w:r>
      <w:proofErr w:type="spellEnd"/>
      <w:r w:rsidR="006E56C9" w:rsidRPr="00DE2F02">
        <w:rPr>
          <w:rFonts w:ascii="Poppins Light" w:hAnsi="Poppins Light" w:cs="Poppins Light"/>
          <w:color w:val="000000"/>
          <w:sz w:val="18"/>
          <w:szCs w:val="18"/>
        </w:rPr>
        <w:t xml:space="preserve"> (Security) Service Provider (MSPs) und adressiert deren zentrale Herausforderung: den Aufbau profitabler, skalierbarer Security-Services in einem zunehmend kompetitiven Markt.</w:t>
      </w:r>
    </w:p>
    <w:p w14:paraId="562C213D" w14:textId="77777777"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 xml:space="preserve">Angesichts einer stark wachsenden Bedrohungslage durch automatisierte Cyberangriffe und steigender Kundenanforderungen an Transparenz, Reaktionsfähigkeit und messbare Sicherheitsgewinne setzt </w:t>
      </w:r>
      <w:proofErr w:type="spellStart"/>
      <w:r w:rsidRPr="00DE2F02">
        <w:rPr>
          <w:rFonts w:ascii="Poppins Light" w:hAnsi="Poppins Light" w:cs="Poppins Light"/>
          <w:color w:val="000000"/>
          <w:sz w:val="18"/>
          <w:szCs w:val="18"/>
        </w:rPr>
        <w:t>Enginsight</w:t>
      </w:r>
      <w:proofErr w:type="spellEnd"/>
      <w:r w:rsidRPr="00DE2F02">
        <w:rPr>
          <w:rFonts w:ascii="Poppins Light" w:hAnsi="Poppins Light" w:cs="Poppins Light"/>
          <w:color w:val="000000"/>
          <w:sz w:val="18"/>
          <w:szCs w:val="18"/>
        </w:rPr>
        <w:t xml:space="preserve"> konsequent auf ein partnerzentriertes Modell. Im Fokus stehen Kompetenzaufbau, Servicefähigkeit und Kundennutzen statt reinen Umsatzdenkens.</w:t>
      </w:r>
    </w:p>
    <w:p w14:paraId="7603FE5E" w14:textId="77777777" w:rsidR="006E56C9" w:rsidRPr="00DE2F02" w:rsidRDefault="006E56C9" w:rsidP="006E56C9">
      <w:pPr>
        <w:spacing w:before="100" w:beforeAutospacing="1" w:after="100" w:afterAutospacing="1" w:line="300" w:lineRule="atLeast"/>
        <w:outlineLvl w:val="1"/>
        <w:rPr>
          <w:rFonts w:ascii="Poppins" w:hAnsi="Poppins" w:cs="Poppins"/>
          <w:sz w:val="36"/>
          <w:szCs w:val="36"/>
        </w:rPr>
      </w:pPr>
      <w:r w:rsidRPr="00DE2F02">
        <w:rPr>
          <w:rFonts w:ascii="Poppins" w:hAnsi="Poppins" w:cs="Poppins"/>
          <w:sz w:val="36"/>
          <w:szCs w:val="36"/>
        </w:rPr>
        <w:t>Channel-Fokus: Vom Produktverkauf zum Security-Service-Geschäft</w:t>
      </w:r>
    </w:p>
    <w:p w14:paraId="12425ADB" w14:textId="77777777"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 xml:space="preserve">Für Systemhäuser und MSPs bedeutet das neue Programm vor allem eines: eine klare strategische Unterstützung beim Wandel vom klassischen </w:t>
      </w:r>
      <w:proofErr w:type="spellStart"/>
      <w:r w:rsidRPr="00DE2F02">
        <w:rPr>
          <w:rFonts w:ascii="Poppins Light" w:hAnsi="Poppins Light" w:cs="Poppins Light"/>
          <w:color w:val="000000"/>
          <w:sz w:val="18"/>
          <w:szCs w:val="18"/>
        </w:rPr>
        <w:t>Reselling</w:t>
      </w:r>
      <w:proofErr w:type="spellEnd"/>
      <w:r w:rsidRPr="00DE2F02">
        <w:rPr>
          <w:rFonts w:ascii="Poppins Light" w:hAnsi="Poppins Light" w:cs="Poppins Light"/>
          <w:color w:val="000000"/>
          <w:sz w:val="18"/>
          <w:szCs w:val="18"/>
        </w:rPr>
        <w:t xml:space="preserve"> hin zu skalierbaren Security-Services.</w:t>
      </w:r>
    </w:p>
    <w:p w14:paraId="16A43D08" w14:textId="77777777" w:rsidR="006E56C9" w:rsidRPr="00DE2F02" w:rsidRDefault="006E56C9" w:rsidP="006E56C9">
      <w:pPr>
        <w:spacing w:before="100" w:beforeAutospacing="1" w:after="100" w:afterAutospacing="1" w:line="300" w:lineRule="atLeast"/>
        <w:rPr>
          <w:rFonts w:ascii="Poppins Light" w:hAnsi="Poppins Light" w:cs="Poppins Light"/>
          <w:i/>
          <w:iCs/>
          <w:color w:val="000000"/>
          <w:sz w:val="18"/>
          <w:szCs w:val="18"/>
        </w:rPr>
      </w:pPr>
      <w:r w:rsidRPr="00DE2F02">
        <w:rPr>
          <w:rFonts w:ascii="Poppins Light" w:hAnsi="Poppins Light" w:cs="Poppins Light"/>
          <w:b/>
          <w:bCs/>
          <w:color w:val="000000"/>
          <w:sz w:val="18"/>
          <w:szCs w:val="18"/>
        </w:rPr>
        <w:t xml:space="preserve">Mario Jandeck, CEO von </w:t>
      </w:r>
      <w:proofErr w:type="spellStart"/>
      <w:r w:rsidRPr="00DE2F02">
        <w:rPr>
          <w:rFonts w:ascii="Poppins Light" w:hAnsi="Poppins Light" w:cs="Poppins Light"/>
          <w:b/>
          <w:bCs/>
          <w:color w:val="000000"/>
          <w:sz w:val="18"/>
          <w:szCs w:val="18"/>
        </w:rPr>
        <w:t>Enginsight</w:t>
      </w:r>
      <w:proofErr w:type="spellEnd"/>
      <w:r w:rsidRPr="00DE2F02">
        <w:rPr>
          <w:rFonts w:ascii="Poppins Light" w:hAnsi="Poppins Light" w:cs="Poppins Light"/>
          <w:color w:val="000000"/>
          <w:sz w:val="18"/>
          <w:szCs w:val="18"/>
        </w:rPr>
        <w:t xml:space="preserve">: </w:t>
      </w:r>
      <w:r w:rsidRPr="00DE2F02">
        <w:rPr>
          <w:rFonts w:ascii="Poppins Light" w:hAnsi="Poppins Light" w:cs="Poppins Light"/>
          <w:i/>
          <w:iCs/>
          <w:color w:val="000000"/>
          <w:sz w:val="18"/>
          <w:szCs w:val="18"/>
        </w:rPr>
        <w:t>„Unsere Partner stehen vor der Herausforderung, mit begrenzten Ressourcen immer komplexere Security-Anforderungen ihrer Kunden zu erfüllen. Genau hier setzen wir an: Wir geben ihnen ein Modell an die Hand, mit dem sie Security-Services skalierbar, effizient und wirtschaftlich erfolgreich anbieten können.“</w:t>
      </w:r>
    </w:p>
    <w:p w14:paraId="35C61B99" w14:textId="71A3C481"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 xml:space="preserve">Statt starrer Umsatzstufen differenziert </w:t>
      </w:r>
      <w:proofErr w:type="spellStart"/>
      <w:r w:rsidRPr="00DE2F02">
        <w:rPr>
          <w:rFonts w:ascii="Poppins Light" w:hAnsi="Poppins Light" w:cs="Poppins Light"/>
          <w:color w:val="000000"/>
          <w:sz w:val="18"/>
          <w:szCs w:val="18"/>
        </w:rPr>
        <w:t>Enginsight</w:t>
      </w:r>
      <w:proofErr w:type="spellEnd"/>
      <w:r w:rsidRPr="00DE2F02">
        <w:rPr>
          <w:rFonts w:ascii="Poppins Light" w:hAnsi="Poppins Light" w:cs="Poppins Light"/>
          <w:color w:val="000000"/>
          <w:sz w:val="18"/>
          <w:szCs w:val="18"/>
        </w:rPr>
        <w:t xml:space="preserve"> zwischen Resellern und MSPs und ermöglicht hybride Geschäftsmodelle. Partner können ihr Portfolio modular ausbauen </w:t>
      </w:r>
      <w:r w:rsidR="00DE2F02">
        <w:rPr>
          <w:rFonts w:ascii="Poppins Light" w:hAnsi="Poppins Light" w:cs="Poppins Light"/>
          <w:color w:val="000000"/>
          <w:sz w:val="18"/>
          <w:szCs w:val="18"/>
        </w:rPr>
        <w:t>-</w:t>
      </w:r>
      <w:r w:rsidRPr="00DE2F02">
        <w:rPr>
          <w:rFonts w:ascii="Poppins Light" w:hAnsi="Poppins Light" w:cs="Poppins Light"/>
          <w:color w:val="000000"/>
          <w:sz w:val="18"/>
          <w:szCs w:val="18"/>
        </w:rPr>
        <w:t xml:space="preserve"> vom Einstieg mit einzelnen Security-Services bis hin zu umfassenden </w:t>
      </w:r>
      <w:proofErr w:type="spellStart"/>
      <w:r w:rsidRPr="00DE2F02">
        <w:rPr>
          <w:rFonts w:ascii="Poppins Light" w:hAnsi="Poppins Light" w:cs="Poppins Light"/>
          <w:color w:val="000000"/>
          <w:sz w:val="18"/>
          <w:szCs w:val="18"/>
        </w:rPr>
        <w:t>Managed</w:t>
      </w:r>
      <w:proofErr w:type="spellEnd"/>
      <w:r w:rsidRPr="00DE2F02">
        <w:rPr>
          <w:rFonts w:ascii="Poppins Light" w:hAnsi="Poppins Light" w:cs="Poppins Light"/>
          <w:color w:val="000000"/>
          <w:sz w:val="18"/>
          <w:szCs w:val="18"/>
        </w:rPr>
        <w:t>-Detection-and-Response-(MDR)-Angeboten.</w:t>
      </w:r>
    </w:p>
    <w:p w14:paraId="0C1D7F32" w14:textId="77777777" w:rsidR="006E56C9"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Die Plattform selbst schafft dabei die technologische Grundlage: Zentrale Steuerung, Mandantenfähigkeit und ein hoher Automatisierungsgrad ermöglichen es Partnern, Services effizient zu betreiben und zu skalieren, ohne zusätzliche Integrationsaufwände.</w:t>
      </w:r>
    </w:p>
    <w:p w14:paraId="1CD54408" w14:textId="77777777" w:rsidR="00DE2F02" w:rsidRDefault="00DE2F02" w:rsidP="006E56C9">
      <w:pPr>
        <w:spacing w:before="100" w:beforeAutospacing="1" w:after="100" w:afterAutospacing="1" w:line="300" w:lineRule="atLeast"/>
        <w:rPr>
          <w:rFonts w:ascii="Poppins Light" w:hAnsi="Poppins Light" w:cs="Poppins Light"/>
          <w:color w:val="000000"/>
          <w:sz w:val="18"/>
          <w:szCs w:val="18"/>
        </w:rPr>
      </w:pPr>
    </w:p>
    <w:p w14:paraId="55CC66EA" w14:textId="77777777" w:rsidR="00DE2F02" w:rsidRPr="00DE2F02" w:rsidRDefault="00DE2F02" w:rsidP="006E56C9">
      <w:pPr>
        <w:spacing w:before="100" w:beforeAutospacing="1" w:after="100" w:afterAutospacing="1" w:line="300" w:lineRule="atLeast"/>
        <w:rPr>
          <w:rFonts w:ascii="Poppins Light" w:hAnsi="Poppins Light" w:cs="Poppins Light"/>
          <w:color w:val="000000"/>
          <w:sz w:val="18"/>
          <w:szCs w:val="18"/>
        </w:rPr>
      </w:pPr>
    </w:p>
    <w:p w14:paraId="62A566FF" w14:textId="77777777" w:rsidR="006E56C9" w:rsidRPr="00DE2F02" w:rsidRDefault="006E56C9" w:rsidP="006E56C9">
      <w:pPr>
        <w:spacing w:before="100" w:beforeAutospacing="1" w:after="100" w:afterAutospacing="1" w:line="300" w:lineRule="atLeast"/>
        <w:outlineLvl w:val="1"/>
        <w:rPr>
          <w:rFonts w:ascii="Poppins" w:hAnsi="Poppins" w:cs="Poppins"/>
          <w:sz w:val="36"/>
          <w:szCs w:val="36"/>
        </w:rPr>
      </w:pPr>
      <w:r w:rsidRPr="00DE2F02">
        <w:rPr>
          <w:rFonts w:ascii="Poppins" w:hAnsi="Poppins" w:cs="Poppins"/>
          <w:sz w:val="36"/>
          <w:szCs w:val="36"/>
        </w:rPr>
        <w:lastRenderedPageBreak/>
        <w:t>Konkrete Vorteile für Partner</w:t>
      </w:r>
    </w:p>
    <w:p w14:paraId="7E6D2990" w14:textId="77777777"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 xml:space="preserve">Das </w:t>
      </w:r>
      <w:proofErr w:type="spellStart"/>
      <w:r w:rsidRPr="00DE2F02">
        <w:rPr>
          <w:rFonts w:ascii="Poppins Light" w:hAnsi="Poppins Light" w:cs="Poppins Light"/>
          <w:color w:val="000000"/>
          <w:sz w:val="18"/>
          <w:szCs w:val="18"/>
        </w:rPr>
        <w:t>Enginsight</w:t>
      </w:r>
      <w:proofErr w:type="spellEnd"/>
      <w:r w:rsidRPr="00DE2F02">
        <w:rPr>
          <w:rFonts w:ascii="Poppins Light" w:hAnsi="Poppins Light" w:cs="Poppins Light"/>
          <w:color w:val="000000"/>
          <w:sz w:val="18"/>
          <w:szCs w:val="18"/>
        </w:rPr>
        <w:t>-Partnerprogramm ist konsequent auf den geschäftlichen Erfolg im Channel ausgerichtet:</w:t>
      </w:r>
    </w:p>
    <w:p w14:paraId="3CE06CDA"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Schneller Einstieg</w:t>
      </w:r>
      <w:r w:rsidRPr="00DE2F02">
        <w:rPr>
          <w:rFonts w:ascii="Poppins Light" w:hAnsi="Poppins Light" w:cs="Poppins Light"/>
          <w:color w:val="000000"/>
          <w:sz w:val="18"/>
          <w:szCs w:val="18"/>
        </w:rPr>
        <w:t xml:space="preserve"> in wiederkehrende Umsätze durch MDR- und Service-Modelle</w:t>
      </w:r>
    </w:p>
    <w:p w14:paraId="08BCC47C"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 xml:space="preserve">Hohe Skalierbarkeit </w:t>
      </w:r>
      <w:r w:rsidRPr="00DE2F02">
        <w:rPr>
          <w:rFonts w:ascii="Poppins Light" w:hAnsi="Poppins Light" w:cs="Poppins Light"/>
          <w:color w:val="000000"/>
          <w:sz w:val="18"/>
          <w:szCs w:val="18"/>
        </w:rPr>
        <w:t>dank Automatisierung und Multi-Tenant-Architektur</w:t>
      </w:r>
    </w:p>
    <w:p w14:paraId="4CCA81FE"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Transparente Mehrwertargumentation</w:t>
      </w:r>
      <w:r w:rsidRPr="00DE2F02">
        <w:rPr>
          <w:rFonts w:ascii="Poppins Light" w:hAnsi="Poppins Light" w:cs="Poppins Light"/>
          <w:color w:val="000000"/>
          <w:sz w:val="18"/>
          <w:szCs w:val="18"/>
        </w:rPr>
        <w:t xml:space="preserve"> durch integrierte Reports zu Sicherheit und Performance</w:t>
      </w:r>
    </w:p>
    <w:p w14:paraId="0FE9C8EA"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Attraktive Margen</w:t>
      </w:r>
      <w:r w:rsidRPr="00DE2F02">
        <w:rPr>
          <w:rFonts w:ascii="Poppins Light" w:hAnsi="Poppins Light" w:cs="Poppins Light"/>
          <w:color w:val="000000"/>
          <w:sz w:val="18"/>
          <w:szCs w:val="18"/>
        </w:rPr>
        <w:t xml:space="preserve"> und Deal Registration zum Schutz eigener </w:t>
      </w:r>
      <w:proofErr w:type="spellStart"/>
      <w:r w:rsidRPr="00DE2F02">
        <w:rPr>
          <w:rFonts w:ascii="Poppins Light" w:hAnsi="Poppins Light" w:cs="Poppins Light"/>
          <w:color w:val="000000"/>
          <w:sz w:val="18"/>
          <w:szCs w:val="18"/>
        </w:rPr>
        <w:t>Opportunities</w:t>
      </w:r>
      <w:proofErr w:type="spellEnd"/>
      <w:r w:rsidRPr="00DE2F02">
        <w:rPr>
          <w:rFonts w:ascii="Poppins Light" w:hAnsi="Poppins Light" w:cs="Poppins Light"/>
          <w:color w:val="000000"/>
          <w:sz w:val="18"/>
          <w:szCs w:val="18"/>
        </w:rPr>
        <w:t xml:space="preserve"> sowie zur Verbesserung der Wettbewerbsfähigkeit</w:t>
      </w:r>
    </w:p>
    <w:p w14:paraId="16CD721B"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Flexible Betriebsmodelle</w:t>
      </w:r>
      <w:r w:rsidRPr="00DE2F02">
        <w:rPr>
          <w:rFonts w:ascii="Poppins Light" w:hAnsi="Poppins Light" w:cs="Poppins Light"/>
          <w:color w:val="000000"/>
          <w:sz w:val="18"/>
          <w:szCs w:val="18"/>
        </w:rPr>
        <w:t xml:space="preserve"> – On-</w:t>
      </w:r>
      <w:proofErr w:type="spellStart"/>
      <w:r w:rsidRPr="00DE2F02">
        <w:rPr>
          <w:rFonts w:ascii="Poppins Light" w:hAnsi="Poppins Light" w:cs="Poppins Light"/>
          <w:color w:val="000000"/>
          <w:sz w:val="18"/>
          <w:szCs w:val="18"/>
        </w:rPr>
        <w:t>Premises</w:t>
      </w:r>
      <w:proofErr w:type="spellEnd"/>
      <w:r w:rsidRPr="00DE2F02">
        <w:rPr>
          <w:rFonts w:ascii="Poppins Light" w:hAnsi="Poppins Light" w:cs="Poppins Light"/>
          <w:color w:val="000000"/>
          <w:sz w:val="18"/>
          <w:szCs w:val="18"/>
        </w:rPr>
        <w:t>, Cloud oder hybride Szenarien</w:t>
      </w:r>
    </w:p>
    <w:p w14:paraId="629F3904"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 xml:space="preserve">Umfassendes </w:t>
      </w:r>
      <w:proofErr w:type="spellStart"/>
      <w:r w:rsidRPr="00DE2F02">
        <w:rPr>
          <w:rFonts w:ascii="Poppins Light" w:hAnsi="Poppins Light" w:cs="Poppins Light"/>
          <w:b/>
          <w:bCs/>
          <w:color w:val="000000"/>
          <w:sz w:val="18"/>
          <w:szCs w:val="18"/>
        </w:rPr>
        <w:t>Enablement</w:t>
      </w:r>
      <w:proofErr w:type="spellEnd"/>
      <w:r w:rsidRPr="00DE2F02">
        <w:rPr>
          <w:rFonts w:ascii="Poppins Light" w:hAnsi="Poppins Light" w:cs="Poppins Light"/>
          <w:color w:val="000000"/>
          <w:sz w:val="18"/>
          <w:szCs w:val="18"/>
        </w:rPr>
        <w:t xml:space="preserve"> mit Trainings, Zertifizierungen und Vertriebsunterstützung</w:t>
      </w:r>
    </w:p>
    <w:p w14:paraId="115B4C09"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Marketing- und Go-</w:t>
      </w:r>
      <w:proofErr w:type="spellStart"/>
      <w:r w:rsidRPr="00DE2F02">
        <w:rPr>
          <w:rFonts w:ascii="Poppins Light" w:hAnsi="Poppins Light" w:cs="Poppins Light"/>
          <w:b/>
          <w:bCs/>
          <w:color w:val="000000"/>
          <w:sz w:val="18"/>
          <w:szCs w:val="18"/>
        </w:rPr>
        <w:t>to</w:t>
      </w:r>
      <w:proofErr w:type="spellEnd"/>
      <w:r w:rsidRPr="00DE2F02">
        <w:rPr>
          <w:rFonts w:ascii="Poppins Light" w:hAnsi="Poppins Light" w:cs="Poppins Light"/>
          <w:b/>
          <w:bCs/>
          <w:color w:val="000000"/>
          <w:sz w:val="18"/>
          <w:szCs w:val="18"/>
        </w:rPr>
        <w:t>-Market-Support</w:t>
      </w:r>
      <w:r w:rsidRPr="00DE2F02">
        <w:rPr>
          <w:rFonts w:ascii="Poppins Light" w:hAnsi="Poppins Light" w:cs="Poppins Light"/>
          <w:color w:val="000000"/>
          <w:sz w:val="18"/>
          <w:szCs w:val="18"/>
        </w:rPr>
        <w:t xml:space="preserve"> für schnelleren Markterfolg</w:t>
      </w:r>
    </w:p>
    <w:p w14:paraId="7680B93A" w14:textId="77777777" w:rsidR="006E56C9" w:rsidRPr="00DE2F02" w:rsidRDefault="006E56C9" w:rsidP="006E56C9">
      <w:pPr>
        <w:numPr>
          <w:ilvl w:val="0"/>
          <w:numId w:val="4"/>
        </w:num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b/>
          <w:bCs/>
          <w:color w:val="000000"/>
          <w:sz w:val="18"/>
          <w:szCs w:val="18"/>
        </w:rPr>
        <w:t>Erweiterte NFR-Lizenzen</w:t>
      </w:r>
      <w:r w:rsidRPr="00DE2F02">
        <w:rPr>
          <w:rFonts w:ascii="Poppins Light" w:hAnsi="Poppins Light" w:cs="Poppins Light"/>
          <w:color w:val="000000"/>
          <w:sz w:val="18"/>
          <w:szCs w:val="18"/>
        </w:rPr>
        <w:t xml:space="preserve"> zur Eigennutzung und für Proofs </w:t>
      </w:r>
      <w:proofErr w:type="spellStart"/>
      <w:r w:rsidRPr="00DE2F02">
        <w:rPr>
          <w:rFonts w:ascii="Poppins Light" w:hAnsi="Poppins Light" w:cs="Poppins Light"/>
          <w:color w:val="000000"/>
          <w:sz w:val="18"/>
          <w:szCs w:val="18"/>
        </w:rPr>
        <w:t>of</w:t>
      </w:r>
      <w:proofErr w:type="spellEnd"/>
      <w:r w:rsidRPr="00DE2F02">
        <w:rPr>
          <w:rFonts w:ascii="Poppins Light" w:hAnsi="Poppins Light" w:cs="Poppins Light"/>
          <w:color w:val="000000"/>
          <w:sz w:val="18"/>
          <w:szCs w:val="18"/>
        </w:rPr>
        <w:t xml:space="preserve"> Concept</w:t>
      </w:r>
    </w:p>
    <w:p w14:paraId="434EDC9B" w14:textId="77777777" w:rsidR="006E56C9" w:rsidRPr="00DE2F02" w:rsidRDefault="006E56C9" w:rsidP="006E56C9">
      <w:pPr>
        <w:spacing w:before="100" w:beforeAutospacing="1" w:after="100" w:afterAutospacing="1" w:line="300" w:lineRule="atLeast"/>
        <w:outlineLvl w:val="1"/>
        <w:rPr>
          <w:rFonts w:ascii="Poppins" w:hAnsi="Poppins" w:cs="Poppins"/>
          <w:sz w:val="36"/>
          <w:szCs w:val="36"/>
        </w:rPr>
      </w:pPr>
      <w:proofErr w:type="spellStart"/>
      <w:r w:rsidRPr="00DE2F02">
        <w:rPr>
          <w:rFonts w:ascii="Poppins" w:hAnsi="Poppins" w:cs="Poppins"/>
          <w:sz w:val="36"/>
          <w:szCs w:val="36"/>
        </w:rPr>
        <w:t>Enablement</w:t>
      </w:r>
      <w:proofErr w:type="spellEnd"/>
      <w:r w:rsidRPr="00DE2F02">
        <w:rPr>
          <w:rFonts w:ascii="Poppins" w:hAnsi="Poppins" w:cs="Poppins"/>
          <w:sz w:val="36"/>
          <w:szCs w:val="36"/>
        </w:rPr>
        <w:t xml:space="preserve"> als Schlüssel zur Differenzierung</w:t>
      </w:r>
    </w:p>
    <w:p w14:paraId="43720DC9" w14:textId="77777777"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r w:rsidRPr="00DE2F02">
        <w:rPr>
          <w:rFonts w:ascii="Poppins Light" w:hAnsi="Poppins Light" w:cs="Poppins Light"/>
          <w:color w:val="000000"/>
          <w:sz w:val="18"/>
          <w:szCs w:val="18"/>
        </w:rPr>
        <w:t xml:space="preserve">Ein zentraler Bestandteil des Programms ist der systematische Kompetenzaufbau: Mit strukturierten Trainings und Zertifizierungen wie dem „Professional Engineer“, durchgeführt in Präsenz von </w:t>
      </w:r>
      <w:r w:rsidRPr="00DE2F02">
        <w:rPr>
          <w:rFonts w:ascii="Poppins Light" w:hAnsi="Poppins Light" w:cs="Poppins Light"/>
          <w:b/>
          <w:bCs/>
          <w:color w:val="000000"/>
          <w:sz w:val="18"/>
          <w:szCs w:val="18"/>
        </w:rPr>
        <w:t>ALSO, ADN</w:t>
      </w:r>
      <w:r w:rsidRPr="00DE2F02">
        <w:rPr>
          <w:rFonts w:ascii="Poppins Light" w:hAnsi="Poppins Light" w:cs="Poppins Light"/>
          <w:color w:val="000000"/>
          <w:sz w:val="18"/>
          <w:szCs w:val="18"/>
        </w:rPr>
        <w:t xml:space="preserve"> und </w:t>
      </w:r>
      <w:r w:rsidRPr="00DE2F02">
        <w:rPr>
          <w:rFonts w:ascii="Poppins Light" w:hAnsi="Poppins Light" w:cs="Poppins Light"/>
          <w:b/>
          <w:bCs/>
          <w:color w:val="000000"/>
          <w:sz w:val="18"/>
          <w:szCs w:val="18"/>
        </w:rPr>
        <w:t>Tarox</w:t>
      </w:r>
      <w:r w:rsidRPr="00DE2F02">
        <w:rPr>
          <w:rFonts w:ascii="Poppins Light" w:hAnsi="Poppins Light" w:cs="Poppins Light"/>
          <w:color w:val="000000"/>
          <w:sz w:val="18"/>
          <w:szCs w:val="18"/>
        </w:rPr>
        <w:t>, sollen sich Partner klar im Wettbewerb differenzieren.</w:t>
      </w:r>
    </w:p>
    <w:p w14:paraId="0987ABF1" w14:textId="77777777" w:rsidR="006E56C9" w:rsidRPr="00DE2F02" w:rsidRDefault="006E56C9" w:rsidP="006E56C9">
      <w:pPr>
        <w:spacing w:before="100" w:beforeAutospacing="1" w:after="100" w:afterAutospacing="1" w:line="300" w:lineRule="atLeast"/>
        <w:rPr>
          <w:rFonts w:ascii="Poppins Light" w:hAnsi="Poppins Light" w:cs="Poppins Light"/>
          <w:color w:val="000000"/>
          <w:sz w:val="18"/>
          <w:szCs w:val="18"/>
        </w:rPr>
      </w:pPr>
      <w:proofErr w:type="spellStart"/>
      <w:r w:rsidRPr="00DE2F02">
        <w:rPr>
          <w:rFonts w:ascii="Poppins Light" w:hAnsi="Poppins Light" w:cs="Poppins Light"/>
          <w:b/>
          <w:bCs/>
          <w:color w:val="000000"/>
          <w:sz w:val="18"/>
          <w:szCs w:val="18"/>
        </w:rPr>
        <w:t>Jandeck</w:t>
      </w:r>
      <w:proofErr w:type="spellEnd"/>
      <w:r w:rsidRPr="00DE2F02">
        <w:rPr>
          <w:rFonts w:ascii="Poppins Light" w:hAnsi="Poppins Light" w:cs="Poppins Light"/>
          <w:b/>
          <w:bCs/>
          <w:color w:val="000000"/>
          <w:sz w:val="18"/>
          <w:szCs w:val="18"/>
        </w:rPr>
        <w:t xml:space="preserve"> dazu:</w:t>
      </w:r>
      <w:r w:rsidRPr="00DE2F02">
        <w:rPr>
          <w:rFonts w:ascii="Poppins Light" w:hAnsi="Poppins Light" w:cs="Poppins Light"/>
          <w:color w:val="000000"/>
          <w:sz w:val="18"/>
          <w:szCs w:val="18"/>
        </w:rPr>
        <w:t xml:space="preserve"> </w:t>
      </w:r>
      <w:r w:rsidRPr="00DE2F02">
        <w:rPr>
          <w:rFonts w:ascii="Poppins Light" w:hAnsi="Poppins Light" w:cs="Poppins Light"/>
          <w:i/>
          <w:iCs/>
          <w:color w:val="000000"/>
          <w:sz w:val="18"/>
          <w:szCs w:val="18"/>
        </w:rPr>
        <w:t xml:space="preserve">„Wir stellen den Kundennutzen verstärkt in den Mittelpunkt. Unser Ziel ist es, dass Partner sich als </w:t>
      </w:r>
      <w:proofErr w:type="spellStart"/>
      <w:r w:rsidRPr="00DE2F02">
        <w:rPr>
          <w:rFonts w:ascii="Poppins Light" w:hAnsi="Poppins Light" w:cs="Poppins Light"/>
          <w:i/>
          <w:iCs/>
          <w:color w:val="000000"/>
          <w:sz w:val="18"/>
          <w:szCs w:val="18"/>
        </w:rPr>
        <w:t>Trusted</w:t>
      </w:r>
      <w:proofErr w:type="spellEnd"/>
      <w:r w:rsidRPr="00DE2F02">
        <w:rPr>
          <w:rFonts w:ascii="Poppins Light" w:hAnsi="Poppins Light" w:cs="Poppins Light"/>
          <w:i/>
          <w:iCs/>
          <w:color w:val="000000"/>
          <w:sz w:val="18"/>
          <w:szCs w:val="18"/>
        </w:rPr>
        <w:t xml:space="preserve"> </w:t>
      </w:r>
      <w:proofErr w:type="spellStart"/>
      <w:r w:rsidRPr="00DE2F02">
        <w:rPr>
          <w:rFonts w:ascii="Poppins Light" w:hAnsi="Poppins Light" w:cs="Poppins Light"/>
          <w:i/>
          <w:iCs/>
          <w:color w:val="000000"/>
          <w:sz w:val="18"/>
          <w:szCs w:val="18"/>
        </w:rPr>
        <w:t>Advisor</w:t>
      </w:r>
      <w:proofErr w:type="spellEnd"/>
      <w:r w:rsidRPr="00DE2F02">
        <w:rPr>
          <w:rFonts w:ascii="Poppins Light" w:hAnsi="Poppins Light" w:cs="Poppins Light"/>
          <w:i/>
          <w:iCs/>
          <w:color w:val="000000"/>
          <w:sz w:val="18"/>
          <w:szCs w:val="18"/>
        </w:rPr>
        <w:t xml:space="preserve"> positionieren und langfristig planbare, wiederkehrende Umsätze im Security-Geschäft aufbauen. Das gelingt zum einen durch fachliche Trainings, um Kenntnisse zu vertiefen und neue Fähigkeiten zu erlangen, und zum anderen durch die direkte Ansprache der Kunden auf Geschäftsführungsniveau. Damit stellen unsere Partner sicher, dass sie auf dem aktuellen Stand unserer Plattformtechnologie sind und sich mit ihrem Angebot von ihren Wettbewerbern abheben.“</w:t>
      </w:r>
    </w:p>
    <w:p w14:paraId="77ED450F" w14:textId="77777777" w:rsidR="00DE2F02" w:rsidRDefault="00DE2F02">
      <w:pPr>
        <w:keepNext/>
        <w:spacing w:before="120" w:after="160" w:line="280" w:lineRule="auto"/>
        <w:rPr>
          <w:rFonts w:ascii="Poppins Medium" w:hAnsi="Poppins Medium" w:cs="Poppins Medium"/>
          <w:caps/>
          <w:color w:val="E91E63"/>
        </w:rPr>
      </w:pPr>
    </w:p>
    <w:p w14:paraId="4C23BA8D" w14:textId="1D94FE52" w:rsidR="00D26455" w:rsidRDefault="00000000">
      <w:pPr>
        <w:keepNext/>
        <w:spacing w:before="120" w:after="160" w:line="280" w:lineRule="auto"/>
      </w:pPr>
      <w:r>
        <w:rPr>
          <w:rFonts w:ascii="Poppins Medium" w:hAnsi="Poppins Medium" w:cs="Poppins Medium"/>
          <w:caps/>
          <w:color w:val="E91E63"/>
        </w:rPr>
        <w:t>Über Enginsight</w:t>
      </w:r>
    </w:p>
    <w:p w14:paraId="173FBD76" w14:textId="69F9FF3B" w:rsidR="00383D06" w:rsidRPr="00383D06" w:rsidRDefault="00000000" w:rsidP="00FE4BF6">
      <w:pPr>
        <w:spacing w:after="320" w:line="280" w:lineRule="auto"/>
        <w:jc w:val="both"/>
        <w:rPr>
          <w:rFonts w:ascii="Poppins Light" w:hAnsi="Poppins Light" w:cs="Poppins Light"/>
          <w:color w:val="000000"/>
          <w:sz w:val="18"/>
          <w:szCs w:val="18"/>
        </w:rPr>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-Plattform vereint Schwachstellenmanagement, Asset Monitoring, Angriffserkennung, Compliance-Analysen und automatisierte Abwehrmaßnahmen in einer einzigen Lösung. Unter dem Leitmotiv „Unsichtbares sichtbar machen“ und „Unsicheres sicher machen“ kombiniert Enginsight Transparenz, Automatisierung und eine praxisnahe Sicherheitsarchitektur, um den Mittelstand effizient und nachhaltig zu schützen – Cybersecurity 100 % Made in Germany.</w:t>
      </w:r>
    </w:p>
    <w:p w14:paraId="41A47010" w14:textId="77777777" w:rsidR="00383D06" w:rsidRPr="00383D06" w:rsidRDefault="00383D06">
      <w:pPr>
        <w:spacing w:after="320" w:line="280" w:lineRule="auto"/>
        <w:jc w:val="both"/>
        <w:rPr>
          <w:rFonts w:ascii="Poppins Light" w:hAnsi="Poppins Light" w:cs="Poppins Light"/>
          <w:color w:val="000000"/>
          <w:sz w:val="18"/>
          <w:szCs w:val="18"/>
        </w:rPr>
      </w:pPr>
    </w:p>
    <w:p w14:paraId="549B7402" w14:textId="5DB131D2" w:rsidR="00D26455" w:rsidRDefault="00000000">
      <w:pPr>
        <w:keepNext/>
        <w:spacing w:before="120" w:after="120" w:line="280" w:lineRule="auto"/>
      </w:pPr>
      <w:r>
        <w:rPr>
          <w:rFonts w:ascii="Poppins Medium" w:hAnsi="Poppins Medium" w:cs="Poppins Medium"/>
          <w:caps/>
          <w:color w:val="E91E63"/>
        </w:rPr>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10"/>
      <w:footerReference w:type="default" r:id="rId11"/>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17CB24" w14:textId="77777777" w:rsidR="00B93164" w:rsidRDefault="00B93164" w:rsidP="006F1D54">
      <w:pPr>
        <w:spacing w:line="240" w:lineRule="auto"/>
      </w:pPr>
      <w:r>
        <w:separator/>
      </w:r>
    </w:p>
  </w:endnote>
  <w:endnote w:type="continuationSeparator" w:id="0">
    <w:p w14:paraId="68D3B80C" w14:textId="77777777" w:rsidR="00B93164" w:rsidRDefault="00B93164"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E112D7" w14:textId="77777777" w:rsidR="00B93164" w:rsidRDefault="00B93164" w:rsidP="006F1D54">
      <w:pPr>
        <w:spacing w:line="240" w:lineRule="auto"/>
      </w:pPr>
      <w:r>
        <w:separator/>
      </w:r>
    </w:p>
  </w:footnote>
  <w:footnote w:type="continuationSeparator" w:id="0">
    <w:p w14:paraId="3887D690" w14:textId="77777777" w:rsidR="00B93164" w:rsidRDefault="00B93164"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815833"/>
    <w:multiLevelType w:val="multilevel"/>
    <w:tmpl w:val="ACD6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F7E0A"/>
    <w:multiLevelType w:val="multilevel"/>
    <w:tmpl w:val="417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615D9"/>
    <w:multiLevelType w:val="multilevel"/>
    <w:tmpl w:val="A18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30CB7"/>
    <w:multiLevelType w:val="multilevel"/>
    <w:tmpl w:val="DE2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45">
    <w:abstractNumId w:val="1"/>
  </w:num>
  <w:num w:numId="2" w16cid:durableId="204948275">
    <w:abstractNumId w:val="2"/>
  </w:num>
  <w:num w:numId="3" w16cid:durableId="715931951">
    <w:abstractNumId w:val="0"/>
  </w:num>
  <w:num w:numId="4" w16cid:durableId="188324508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9"/>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92F27"/>
    <w:rsid w:val="002C56DD"/>
    <w:rsid w:val="002F1181"/>
    <w:rsid w:val="00311639"/>
    <w:rsid w:val="00367C97"/>
    <w:rsid w:val="00373F42"/>
    <w:rsid w:val="00383D06"/>
    <w:rsid w:val="0039466C"/>
    <w:rsid w:val="003D260E"/>
    <w:rsid w:val="003F3792"/>
    <w:rsid w:val="00411B0F"/>
    <w:rsid w:val="00413590"/>
    <w:rsid w:val="00446EDA"/>
    <w:rsid w:val="0045193F"/>
    <w:rsid w:val="00476A0B"/>
    <w:rsid w:val="004A7617"/>
    <w:rsid w:val="004F1FCE"/>
    <w:rsid w:val="005F14B3"/>
    <w:rsid w:val="0061547A"/>
    <w:rsid w:val="00625C7C"/>
    <w:rsid w:val="00640CC5"/>
    <w:rsid w:val="006519AA"/>
    <w:rsid w:val="00657F81"/>
    <w:rsid w:val="00694F6D"/>
    <w:rsid w:val="006C38D0"/>
    <w:rsid w:val="006D5582"/>
    <w:rsid w:val="006E56C9"/>
    <w:rsid w:val="006F1D54"/>
    <w:rsid w:val="00763A4C"/>
    <w:rsid w:val="00791B8B"/>
    <w:rsid w:val="008045FA"/>
    <w:rsid w:val="008050CF"/>
    <w:rsid w:val="00822DF8"/>
    <w:rsid w:val="00824C1F"/>
    <w:rsid w:val="00835E23"/>
    <w:rsid w:val="00883FA1"/>
    <w:rsid w:val="008B260B"/>
    <w:rsid w:val="008E3AAC"/>
    <w:rsid w:val="00912ADA"/>
    <w:rsid w:val="00954506"/>
    <w:rsid w:val="009700CE"/>
    <w:rsid w:val="009A2CB1"/>
    <w:rsid w:val="009F3ABE"/>
    <w:rsid w:val="00A07A0E"/>
    <w:rsid w:val="00A214CC"/>
    <w:rsid w:val="00A35ACE"/>
    <w:rsid w:val="00A563D4"/>
    <w:rsid w:val="00A62992"/>
    <w:rsid w:val="00A71789"/>
    <w:rsid w:val="00A80709"/>
    <w:rsid w:val="00A9345D"/>
    <w:rsid w:val="00AC4E8E"/>
    <w:rsid w:val="00B12D2F"/>
    <w:rsid w:val="00B93164"/>
    <w:rsid w:val="00BB439E"/>
    <w:rsid w:val="00BF5413"/>
    <w:rsid w:val="00C277D6"/>
    <w:rsid w:val="00C565AF"/>
    <w:rsid w:val="00CC3B34"/>
    <w:rsid w:val="00CD6098"/>
    <w:rsid w:val="00CF1468"/>
    <w:rsid w:val="00D13798"/>
    <w:rsid w:val="00D26455"/>
    <w:rsid w:val="00D8315B"/>
    <w:rsid w:val="00D84339"/>
    <w:rsid w:val="00DD1C4A"/>
    <w:rsid w:val="00DE2F02"/>
    <w:rsid w:val="00E612D1"/>
    <w:rsid w:val="00EA2D68"/>
    <w:rsid w:val="00F021DE"/>
    <w:rsid w:val="00F07DB6"/>
    <w:rsid w:val="00F27987"/>
    <w:rsid w:val="00F47CB3"/>
    <w:rsid w:val="00F701CB"/>
    <w:rsid w:val="00F933BF"/>
    <w:rsid w:val="00FB4800"/>
    <w:rsid w:val="00FB6510"/>
    <w:rsid w:val="00FE4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paragraph" w:styleId="berschrift1">
    <w:name w:val="heading 1"/>
    <w:basedOn w:val="Standard"/>
    <w:link w:val="berschrift1Zchn"/>
    <w:uiPriority w:val="9"/>
    <w:qFormat/>
    <w:rsid w:val="006E56C9"/>
    <w:pPr>
      <w:spacing w:before="100" w:beforeAutospacing="1" w:after="100" w:afterAutospacing="1" w:line="240" w:lineRule="auto"/>
      <w:outlineLvl w:val="0"/>
    </w:pPr>
    <w:rPr>
      <w:rFonts w:ascii="Times New Roman" w:hAnsi="Times New Roman"/>
      <w:b/>
      <w:bCs/>
      <w:kern w:val="36"/>
      <w:sz w:val="48"/>
      <w:szCs w:val="48"/>
    </w:rPr>
  </w:style>
  <w:style w:type="paragraph" w:styleId="berschrift2">
    <w:name w:val="heading 2"/>
    <w:basedOn w:val="Standard"/>
    <w:link w:val="berschrift2Zchn"/>
    <w:uiPriority w:val="9"/>
    <w:qFormat/>
    <w:rsid w:val="006E56C9"/>
    <w:pPr>
      <w:spacing w:before="100" w:beforeAutospacing="1" w:after="100" w:afterAutospacing="1" w:line="240" w:lineRule="auto"/>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 w:type="paragraph" w:styleId="Listenabsatz">
    <w:name w:val="List Paragraph"/>
    <w:basedOn w:val="Standard"/>
    <w:uiPriority w:val="34"/>
    <w:qFormat/>
    <w:rsid w:val="00367C97"/>
    <w:pPr>
      <w:ind w:left="720"/>
      <w:contextualSpacing/>
    </w:pPr>
  </w:style>
  <w:style w:type="character" w:styleId="NichtaufgelsteErwhnung">
    <w:name w:val="Unresolved Mention"/>
    <w:basedOn w:val="Absatz-Standardschriftart"/>
    <w:uiPriority w:val="99"/>
    <w:semiHidden/>
    <w:unhideWhenUsed/>
    <w:rsid w:val="006D5582"/>
    <w:rPr>
      <w:color w:val="605E5C"/>
      <w:shd w:val="clear" w:color="auto" w:fill="E1DFDD"/>
    </w:rPr>
  </w:style>
  <w:style w:type="character" w:customStyle="1" w:styleId="berschrift1Zchn">
    <w:name w:val="Überschrift 1 Zchn"/>
    <w:basedOn w:val="Absatz-Standardschriftart"/>
    <w:link w:val="berschrift1"/>
    <w:uiPriority w:val="9"/>
    <w:rsid w:val="006E56C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E56C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E56C9"/>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6E5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Props1.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AAC69-1EAF-4F46-9971-8499E39732D3}">
  <ds:schemaRefs>
    <ds:schemaRef ds:uri="http://schemas.microsoft.com/sharepoint/v3/contenttype/forms"/>
  </ds:schemaRefs>
</ds:datastoreItem>
</file>

<file path=customXml/itemProps3.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Sabine Kuch (Extern)</cp:lastModifiedBy>
  <cp:revision>2</cp:revision>
  <cp:lastPrinted>2026-04-30T10:41:00Z</cp:lastPrinted>
  <dcterms:created xsi:type="dcterms:W3CDTF">2026-07-07T07:52:00Z</dcterms:created>
  <dcterms:modified xsi:type="dcterms:W3CDTF">2026-07-07T07:52:00Z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