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92334F6" w14:textId="77777777" w:rsidR="00D26455" w:rsidRDefault="00000000">
      <w:pPr>
        <w:spacing w:after="200" w:line="280" w:lineRule="auto"/>
      </w:pPr>
      <w:r>
        <w:rPr>
          <w:rFonts w:ascii="Poppins Medium" w:hAnsi="Poppins Medium" w:cs="Poppins Medium"/>
          <w:color w:val="E91E63"/>
          <w:sz w:val="18"/>
          <w:szCs w:val="18"/>
        </w:rPr>
        <w:t>PRESSEMITTEILUNG</w:t>
      </w:r>
    </w:p>
    <w:p w14:paraId="72C737CD" w14:textId="6CA12FF5" w:rsidR="00E10DFA" w:rsidRDefault="00E10DFA" w:rsidP="00E10DFA">
      <w:pPr>
        <w:spacing w:before="100" w:beforeAutospacing="1" w:after="100" w:afterAutospacing="1" w:line="300" w:lineRule="atLeast"/>
        <w:outlineLvl w:val="1"/>
        <w:rPr>
          <w:rFonts w:ascii="Poppins" w:hAnsi="Poppins" w:cs="Poppins"/>
          <w:sz w:val="36"/>
          <w:szCs w:val="36"/>
        </w:rPr>
      </w:pPr>
      <w:proofErr w:type="spellStart"/>
      <w:r w:rsidRPr="00E10DFA">
        <w:rPr>
          <w:rFonts w:ascii="Poppins" w:hAnsi="Poppins" w:cs="Poppins"/>
          <w:sz w:val="36"/>
          <w:szCs w:val="36"/>
        </w:rPr>
        <w:t>Enginsight</w:t>
      </w:r>
      <w:proofErr w:type="spellEnd"/>
      <w:r w:rsidRPr="00E10DFA">
        <w:rPr>
          <w:rFonts w:ascii="Poppins" w:hAnsi="Poppins" w:cs="Poppins"/>
          <w:sz w:val="36"/>
          <w:szCs w:val="36"/>
        </w:rPr>
        <w:t xml:space="preserve"> Partner </w:t>
      </w:r>
      <w:r>
        <w:rPr>
          <w:rFonts w:ascii="Poppins" w:hAnsi="Poppins" w:cs="Poppins"/>
          <w:sz w:val="36"/>
          <w:szCs w:val="36"/>
        </w:rPr>
        <w:t>Umfrage: S</w:t>
      </w:r>
      <w:r w:rsidRPr="00E10DFA">
        <w:rPr>
          <w:rFonts w:ascii="Poppins" w:hAnsi="Poppins" w:cs="Poppins"/>
          <w:sz w:val="36"/>
          <w:szCs w:val="36"/>
        </w:rPr>
        <w:t>teigende Nachfrage nach MDR</w:t>
      </w:r>
    </w:p>
    <w:p w14:paraId="74EBC582" w14:textId="37D14816" w:rsidR="00E10DFA" w:rsidRPr="00E10DFA" w:rsidRDefault="00E10DFA" w:rsidP="00E10DFA">
      <w:pPr>
        <w:spacing w:before="100" w:beforeAutospacing="1" w:after="100" w:afterAutospacing="1" w:line="300" w:lineRule="atLeast"/>
        <w:outlineLvl w:val="1"/>
        <w:rPr>
          <w:rFonts w:ascii="Poppins" w:hAnsi="Poppins" w:cs="Poppins"/>
          <w:sz w:val="36"/>
          <w:szCs w:val="36"/>
        </w:rPr>
      </w:pPr>
      <w:r w:rsidRPr="00E10DFA">
        <w:rPr>
          <w:rFonts w:ascii="Poppins" w:hAnsi="Poppins" w:cs="Poppins"/>
          <w:sz w:val="36"/>
          <w:szCs w:val="36"/>
        </w:rPr>
        <w:t>Cyberrisiken und Regulatorik treiben den Markt</w:t>
      </w:r>
    </w:p>
    <w:p w14:paraId="14050BD5" w14:textId="7D4B7597" w:rsidR="00E10DFA" w:rsidRPr="00E10DFA" w:rsidRDefault="00E10DFA" w:rsidP="00E10DFA">
      <w:pPr>
        <w:spacing w:before="100" w:beforeAutospacing="1" w:after="100" w:afterAutospacing="1" w:line="300" w:lineRule="atLeast"/>
        <w:outlineLvl w:val="2"/>
        <w:rPr>
          <w:rFonts w:ascii="Poppins Light" w:hAnsi="Poppins Light" w:cs="Poppins Light"/>
          <w:color w:val="000000"/>
          <w:sz w:val="18"/>
          <w:szCs w:val="18"/>
        </w:rPr>
      </w:pPr>
      <w:r>
        <w:rPr>
          <w:rFonts w:ascii="Poppins Light" w:hAnsi="Poppins Light" w:cs="Poppins Light"/>
          <w:color w:val="000000"/>
          <w:sz w:val="18"/>
          <w:szCs w:val="18"/>
        </w:rPr>
        <w:t xml:space="preserve">Die aktuelle </w:t>
      </w:r>
      <w:proofErr w:type="spellStart"/>
      <w:r>
        <w:rPr>
          <w:rFonts w:ascii="Poppins Light" w:hAnsi="Poppins Light" w:cs="Poppins Light"/>
          <w:color w:val="000000"/>
          <w:sz w:val="18"/>
          <w:szCs w:val="18"/>
        </w:rPr>
        <w:t>Enginsight</w:t>
      </w:r>
      <w:proofErr w:type="spellEnd"/>
      <w:r>
        <w:rPr>
          <w:rFonts w:ascii="Poppins Light" w:hAnsi="Poppins Light" w:cs="Poppins Light"/>
          <w:color w:val="000000"/>
          <w:sz w:val="18"/>
          <w:szCs w:val="18"/>
        </w:rPr>
        <w:t xml:space="preserve"> </w:t>
      </w:r>
      <w:r w:rsidRPr="00E10DFA">
        <w:rPr>
          <w:rFonts w:ascii="Poppins Light" w:hAnsi="Poppins Light" w:cs="Poppins Light"/>
          <w:color w:val="000000"/>
          <w:sz w:val="18"/>
          <w:szCs w:val="18"/>
        </w:rPr>
        <w:t>Partnerumfrage zeigt: Sicherheitsbewusstsein steigt deutlich, viele Unternehmen sind auf Cyberangriffe jedoch nur unzureichend vorbereitet</w:t>
      </w:r>
    </w:p>
    <w:p w14:paraId="20A3AABF"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b/>
          <w:bCs/>
          <w:color w:val="000000"/>
          <w:sz w:val="18"/>
          <w:szCs w:val="18"/>
        </w:rPr>
        <w:t>Jena, 21. Juli 2026</w:t>
      </w:r>
      <w:r w:rsidRPr="00E10DFA">
        <w:rPr>
          <w:rFonts w:ascii="Poppins Light" w:hAnsi="Poppins Light" w:cs="Poppins Light"/>
          <w:color w:val="000000"/>
          <w:sz w:val="18"/>
          <w:szCs w:val="18"/>
        </w:rPr>
        <w:t xml:space="preserve"> – </w:t>
      </w:r>
      <w:proofErr w:type="spellStart"/>
      <w:r w:rsidRPr="00E10DFA">
        <w:rPr>
          <w:rFonts w:ascii="Poppins Light" w:hAnsi="Poppins Light" w:cs="Poppins Light"/>
          <w:color w:val="000000"/>
          <w:sz w:val="18"/>
          <w:szCs w:val="18"/>
        </w:rPr>
        <w:t>Managed</w:t>
      </w:r>
      <w:proofErr w:type="spellEnd"/>
      <w:r w:rsidRPr="00E10DFA">
        <w:rPr>
          <w:rFonts w:ascii="Poppins Light" w:hAnsi="Poppins Light" w:cs="Poppins Light"/>
          <w:color w:val="000000"/>
          <w:sz w:val="18"/>
          <w:szCs w:val="18"/>
        </w:rPr>
        <w:t xml:space="preserve"> </w:t>
      </w:r>
      <w:proofErr w:type="spellStart"/>
      <w:r w:rsidRPr="00E10DFA">
        <w:rPr>
          <w:rFonts w:ascii="Poppins Light" w:hAnsi="Poppins Light" w:cs="Poppins Light"/>
          <w:color w:val="000000"/>
          <w:sz w:val="18"/>
          <w:szCs w:val="18"/>
        </w:rPr>
        <w:t>Detection</w:t>
      </w:r>
      <w:proofErr w:type="spellEnd"/>
      <w:r w:rsidRPr="00E10DFA">
        <w:rPr>
          <w:rFonts w:ascii="Poppins Light" w:hAnsi="Poppins Light" w:cs="Poppins Light"/>
          <w:color w:val="000000"/>
          <w:sz w:val="18"/>
          <w:szCs w:val="18"/>
        </w:rPr>
        <w:t xml:space="preserve"> and Response (MDR) entwickelt sich aus Sicht der </w:t>
      </w:r>
      <w:proofErr w:type="spellStart"/>
      <w:r w:rsidRPr="00E10DFA">
        <w:rPr>
          <w:rFonts w:ascii="Poppins Light" w:hAnsi="Poppins Light" w:cs="Poppins Light"/>
          <w:color w:val="000000"/>
          <w:sz w:val="18"/>
          <w:szCs w:val="18"/>
        </w:rPr>
        <w:t>Enginsight</w:t>
      </w:r>
      <w:proofErr w:type="spellEnd"/>
      <w:r w:rsidRPr="00E10DFA">
        <w:rPr>
          <w:rFonts w:ascii="Poppins Light" w:hAnsi="Poppins Light" w:cs="Poppins Light"/>
          <w:color w:val="000000"/>
          <w:sz w:val="18"/>
          <w:szCs w:val="18"/>
        </w:rPr>
        <w:t xml:space="preserve">-Partner zu einem der wichtigsten Wachstumsthemen im </w:t>
      </w:r>
      <w:proofErr w:type="spellStart"/>
      <w:r w:rsidRPr="00E10DFA">
        <w:rPr>
          <w:rFonts w:ascii="Poppins Light" w:hAnsi="Poppins Light" w:cs="Poppins Light"/>
          <w:color w:val="000000"/>
          <w:sz w:val="18"/>
          <w:szCs w:val="18"/>
        </w:rPr>
        <w:t>Cybersecurity</w:t>
      </w:r>
      <w:proofErr w:type="spellEnd"/>
      <w:r w:rsidRPr="00E10DFA">
        <w:rPr>
          <w:rFonts w:ascii="Poppins Light" w:hAnsi="Poppins Light" w:cs="Poppins Light"/>
          <w:color w:val="000000"/>
          <w:sz w:val="18"/>
          <w:szCs w:val="18"/>
        </w:rPr>
        <w:t xml:space="preserve">-Markt. Das zeigt eine aktuelle Befragung innerhalb des </w:t>
      </w:r>
      <w:proofErr w:type="spellStart"/>
      <w:r w:rsidRPr="00E10DFA">
        <w:rPr>
          <w:rFonts w:ascii="Poppins Light" w:hAnsi="Poppins Light" w:cs="Poppins Light"/>
          <w:color w:val="000000"/>
          <w:sz w:val="18"/>
          <w:szCs w:val="18"/>
        </w:rPr>
        <w:t>Enginsight</w:t>
      </w:r>
      <w:proofErr w:type="spellEnd"/>
      <w:r w:rsidRPr="00E10DFA">
        <w:rPr>
          <w:rFonts w:ascii="Poppins Light" w:hAnsi="Poppins Light" w:cs="Poppins Light"/>
          <w:color w:val="000000"/>
          <w:sz w:val="18"/>
          <w:szCs w:val="18"/>
        </w:rPr>
        <w:t xml:space="preserve">-Partnernetzwerks, das mittlerweile nahezu 500 Partner umfasst. Die Ergebnisse verdeutlichen, dass das Bewusstsein für Cyberrisiken bei Endkunden spürbar zunimmt, gleichzeitig aber weiterhin erhebliche Defizite bei der aktiven Erkennung und Abwehr von Angriffen bestehen. </w:t>
      </w:r>
    </w:p>
    <w:p w14:paraId="41DA15FD"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Mehr als 85 Prozent der befragten Partner berichten von einem gestiegenen Bewusstsein ihrer Kunden für Cyberbedrohungen innerhalb der vergangenen zwölf Monate. Gleichzeitig zeigt die Befragung, dass viele Unternehmen bei der praktischen Umsetzung wirksamer Sicherheitsmaßnahmen weiterhin vor Herausforderungen stehen. </w:t>
      </w:r>
    </w:p>
    <w:p w14:paraId="668A5204" w14:textId="77777777" w:rsidR="00E10DFA" w:rsidRPr="00E10DFA" w:rsidRDefault="00E10DFA" w:rsidP="00E10DFA">
      <w:pPr>
        <w:spacing w:before="100" w:beforeAutospacing="1" w:after="100" w:afterAutospacing="1" w:line="300" w:lineRule="atLeast"/>
        <w:rPr>
          <w:rFonts w:ascii="Poppins Light" w:hAnsi="Poppins Light" w:cs="Poppins Light"/>
          <w:b/>
          <w:bCs/>
          <w:color w:val="000000"/>
          <w:sz w:val="18"/>
          <w:szCs w:val="18"/>
        </w:rPr>
      </w:pPr>
      <w:r w:rsidRPr="00E10DFA">
        <w:rPr>
          <w:rFonts w:ascii="Poppins Light" w:hAnsi="Poppins Light" w:cs="Poppins Light"/>
          <w:color w:val="000000"/>
          <w:sz w:val="18"/>
          <w:szCs w:val="18"/>
        </w:rPr>
        <w:t>„</w:t>
      </w:r>
      <w:r w:rsidRPr="00E10DFA">
        <w:rPr>
          <w:rFonts w:ascii="Poppins Light" w:hAnsi="Poppins Light" w:cs="Poppins Light"/>
          <w:i/>
          <w:iCs/>
          <w:color w:val="000000"/>
          <w:sz w:val="18"/>
          <w:szCs w:val="18"/>
        </w:rPr>
        <w:t xml:space="preserve">Die Ergebnisse der </w:t>
      </w:r>
      <w:proofErr w:type="spellStart"/>
      <w:r w:rsidRPr="00E10DFA">
        <w:rPr>
          <w:rFonts w:ascii="Poppins Light" w:hAnsi="Poppins Light" w:cs="Poppins Light"/>
          <w:i/>
          <w:iCs/>
          <w:color w:val="000000"/>
          <w:sz w:val="18"/>
          <w:szCs w:val="18"/>
        </w:rPr>
        <w:t>Enginsight</w:t>
      </w:r>
      <w:proofErr w:type="spellEnd"/>
      <w:r w:rsidRPr="00E10DFA">
        <w:rPr>
          <w:rFonts w:ascii="Poppins Light" w:hAnsi="Poppins Light" w:cs="Poppins Light"/>
          <w:i/>
          <w:iCs/>
          <w:color w:val="000000"/>
          <w:sz w:val="18"/>
          <w:szCs w:val="18"/>
        </w:rPr>
        <w:t xml:space="preserve"> Partner Umfrage zeigen eine Entwicklung, die sich im Markt seit Jahren abzeichnet: Das Problembewusstsein wächst schneller als die Fähigkeit vieler Unternehmen, Bedrohungen rund um die Uhr zu erkennen und wirksam darauf zu reagieren</w:t>
      </w:r>
      <w:r w:rsidRPr="00E10DFA">
        <w:rPr>
          <w:rFonts w:ascii="Poppins Light" w:hAnsi="Poppins Light" w:cs="Poppins Light"/>
          <w:color w:val="000000"/>
          <w:sz w:val="18"/>
          <w:szCs w:val="18"/>
        </w:rPr>
        <w:t xml:space="preserve">“, kommentiert </w:t>
      </w:r>
      <w:r w:rsidRPr="00E10DFA">
        <w:rPr>
          <w:rFonts w:ascii="Poppins Light" w:hAnsi="Poppins Light" w:cs="Poppins Light"/>
          <w:b/>
          <w:bCs/>
          <w:color w:val="000000"/>
          <w:sz w:val="18"/>
          <w:szCs w:val="18"/>
        </w:rPr>
        <w:t xml:space="preserve">Max Tarantik, COO von </w:t>
      </w:r>
      <w:proofErr w:type="spellStart"/>
      <w:r w:rsidRPr="00E10DFA">
        <w:rPr>
          <w:rFonts w:ascii="Poppins Light" w:hAnsi="Poppins Light" w:cs="Poppins Light"/>
          <w:b/>
          <w:bCs/>
          <w:color w:val="000000"/>
          <w:sz w:val="18"/>
          <w:szCs w:val="18"/>
        </w:rPr>
        <w:t>Enginsight</w:t>
      </w:r>
      <w:proofErr w:type="spellEnd"/>
      <w:r w:rsidRPr="00E10DFA">
        <w:rPr>
          <w:rFonts w:ascii="Poppins Light" w:hAnsi="Poppins Light" w:cs="Poppins Light"/>
          <w:b/>
          <w:bCs/>
          <w:color w:val="000000"/>
          <w:sz w:val="18"/>
          <w:szCs w:val="18"/>
        </w:rPr>
        <w:t xml:space="preserve">. </w:t>
      </w:r>
    </w:p>
    <w:p w14:paraId="63794BC0" w14:textId="77777777" w:rsidR="00E10DFA" w:rsidRPr="00E10DFA" w:rsidRDefault="00E10DFA" w:rsidP="00E10DFA">
      <w:pPr>
        <w:spacing w:before="100" w:beforeAutospacing="1" w:after="100" w:afterAutospacing="1" w:line="300" w:lineRule="atLeast"/>
        <w:outlineLvl w:val="1"/>
        <w:rPr>
          <w:rFonts w:ascii="Poppins Light" w:hAnsi="Poppins Light" w:cs="Poppins Light"/>
          <w:caps/>
          <w:color w:val="000000"/>
          <w:sz w:val="30"/>
          <w:szCs w:val="30"/>
        </w:rPr>
      </w:pPr>
      <w:r w:rsidRPr="00E10DFA">
        <w:rPr>
          <w:rFonts w:ascii="Poppins Light" w:hAnsi="Poppins Light" w:cs="Poppins Light"/>
          <w:caps/>
          <w:color w:val="000000"/>
          <w:sz w:val="30"/>
          <w:szCs w:val="30"/>
        </w:rPr>
        <w:t>Regulatorik und Sicherheitsvorfälle sorgen für wachsende MDR-Nachfrage</w:t>
      </w:r>
    </w:p>
    <w:p w14:paraId="3F5BFEF5"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Als wichtigste Treiber für Investitionen in IT-Sicherheit nennen die befragten Partner regulatorische Anforderungen wie NIS2, ISO 27001 oder BSI-Standards, sowie konkrete Sicherheitsvorfälle im eigenen Unternehmen oder innerhalb der jeweiligen Branche. Die Nachfrage nach MDR-Dienstleistungen steigt entsprechend: Fast alle der befragten Partner rechnen in den kommenden zwölf Monaten mit einer weiteren Zunahme der Nachfrage. </w:t>
      </w:r>
    </w:p>
    <w:p w14:paraId="4750E0A9"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Besonders bemerkenswert: Rund 70 Prozent der Partner sehen einen realistischen Bedarf für MDR bereits bei Unternehmen mit bis zu 250 Mitarbeitenden. Damit entwickelt sich das Thema zunehmend vom Enterprise-Ansatz zur relevanten Sicherheitslösung für den gehobenen Mittelstand. </w:t>
      </w:r>
    </w:p>
    <w:p w14:paraId="04C77D34"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lastRenderedPageBreak/>
        <w:t xml:space="preserve">Die Umfrage verdeutlicht außerdem, warum MDR für IT-Dienstleister und </w:t>
      </w:r>
      <w:proofErr w:type="spellStart"/>
      <w:r w:rsidRPr="00E10DFA">
        <w:rPr>
          <w:rFonts w:ascii="Poppins Light" w:hAnsi="Poppins Light" w:cs="Poppins Light"/>
          <w:color w:val="000000"/>
          <w:sz w:val="18"/>
          <w:szCs w:val="18"/>
        </w:rPr>
        <w:t>Managed</w:t>
      </w:r>
      <w:proofErr w:type="spellEnd"/>
      <w:r w:rsidRPr="00E10DFA">
        <w:rPr>
          <w:rFonts w:ascii="Poppins Light" w:hAnsi="Poppins Light" w:cs="Poppins Light"/>
          <w:color w:val="000000"/>
          <w:sz w:val="18"/>
          <w:szCs w:val="18"/>
        </w:rPr>
        <w:t xml:space="preserve"> Service Provider ein attraktives Wachstumsthema darstellt. Unternehmen stehen </w:t>
      </w:r>
      <w:proofErr w:type="gramStart"/>
      <w:r w:rsidRPr="00E10DFA">
        <w:rPr>
          <w:rFonts w:ascii="Poppins Light" w:hAnsi="Poppins Light" w:cs="Poppins Light"/>
          <w:color w:val="000000"/>
          <w:sz w:val="18"/>
          <w:szCs w:val="18"/>
        </w:rPr>
        <w:t>unter zunehmendem</w:t>
      </w:r>
      <w:proofErr w:type="gramEnd"/>
      <w:r w:rsidRPr="00E10DFA">
        <w:rPr>
          <w:rFonts w:ascii="Poppins Light" w:hAnsi="Poppins Light" w:cs="Poppins Light"/>
          <w:color w:val="000000"/>
          <w:sz w:val="18"/>
          <w:szCs w:val="18"/>
        </w:rPr>
        <w:t xml:space="preserve"> Druck, Cyberrisiken nachweisbar zu minimieren, verfügen jedoch häufig nicht über die personellen Ressourcen für ein eigenes Security </w:t>
      </w:r>
      <w:proofErr w:type="spellStart"/>
      <w:r w:rsidRPr="00E10DFA">
        <w:rPr>
          <w:rFonts w:ascii="Poppins Light" w:hAnsi="Poppins Light" w:cs="Poppins Light"/>
          <w:color w:val="000000"/>
          <w:sz w:val="18"/>
          <w:szCs w:val="18"/>
        </w:rPr>
        <w:t>Operations</w:t>
      </w:r>
      <w:proofErr w:type="spellEnd"/>
      <w:r w:rsidRPr="00E10DFA">
        <w:rPr>
          <w:rFonts w:ascii="Poppins Light" w:hAnsi="Poppins Light" w:cs="Poppins Light"/>
          <w:color w:val="000000"/>
          <w:sz w:val="18"/>
          <w:szCs w:val="18"/>
        </w:rPr>
        <w:t xml:space="preserve"> Center. MDR schließt diese Lücke, indem Überwachung, Analyse und Reaktion als </w:t>
      </w:r>
      <w:proofErr w:type="spellStart"/>
      <w:r w:rsidRPr="00E10DFA">
        <w:rPr>
          <w:rFonts w:ascii="Poppins Light" w:hAnsi="Poppins Light" w:cs="Poppins Light"/>
          <w:color w:val="000000"/>
          <w:sz w:val="18"/>
          <w:szCs w:val="18"/>
        </w:rPr>
        <w:t>Managed</w:t>
      </w:r>
      <w:proofErr w:type="spellEnd"/>
      <w:r w:rsidRPr="00E10DFA">
        <w:rPr>
          <w:rFonts w:ascii="Poppins Light" w:hAnsi="Poppins Light" w:cs="Poppins Light"/>
          <w:color w:val="000000"/>
          <w:sz w:val="18"/>
          <w:szCs w:val="18"/>
        </w:rPr>
        <w:t xml:space="preserve"> Service bereitgestellt werden. </w:t>
      </w:r>
    </w:p>
    <w:p w14:paraId="741AE424" w14:textId="77777777" w:rsidR="00E10DFA" w:rsidRPr="00E10DFA" w:rsidRDefault="00E10DFA" w:rsidP="00E10DFA">
      <w:pPr>
        <w:spacing w:before="100" w:beforeAutospacing="1" w:after="100" w:afterAutospacing="1" w:line="300" w:lineRule="atLeast"/>
        <w:outlineLvl w:val="1"/>
        <w:rPr>
          <w:rFonts w:ascii="Poppins Light" w:hAnsi="Poppins Light" w:cs="Poppins Light"/>
          <w:caps/>
          <w:color w:val="000000"/>
          <w:sz w:val="30"/>
          <w:szCs w:val="30"/>
        </w:rPr>
      </w:pPr>
      <w:r w:rsidRPr="00E10DFA">
        <w:rPr>
          <w:rFonts w:ascii="Poppins Light" w:hAnsi="Poppins Light" w:cs="Poppins Light"/>
          <w:caps/>
          <w:color w:val="000000"/>
          <w:sz w:val="30"/>
          <w:szCs w:val="30"/>
        </w:rPr>
        <w:t xml:space="preserve">MDR mit </w:t>
      </w:r>
      <w:proofErr w:type="spellStart"/>
      <w:r w:rsidRPr="00E10DFA">
        <w:rPr>
          <w:rFonts w:ascii="Poppins Light" w:hAnsi="Poppins Light" w:cs="Poppins Light"/>
          <w:caps/>
          <w:color w:val="000000"/>
          <w:sz w:val="30"/>
          <w:szCs w:val="30"/>
        </w:rPr>
        <w:t>Enginsight</w:t>
      </w:r>
      <w:proofErr w:type="spellEnd"/>
      <w:r w:rsidRPr="00E10DFA">
        <w:rPr>
          <w:rFonts w:ascii="Poppins Light" w:hAnsi="Poppins Light" w:cs="Poppins Light"/>
          <w:caps/>
          <w:color w:val="000000"/>
          <w:sz w:val="30"/>
          <w:szCs w:val="30"/>
        </w:rPr>
        <w:t>: Transparente Cyberabwehr „Made in Germany“</w:t>
      </w:r>
    </w:p>
    <w:p w14:paraId="46AF3862"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Bei den Anforderungen an moderne MDR-Angebote stehen vor allem Transparenz und Planungssicherheit im Vordergrund. Für über 40 Prozent der befragten Partner sind kalkulierbare Kosten das wichtigste Entscheidungskriterium bei der Auswahl eines MDR-Anbieters. </w:t>
      </w:r>
    </w:p>
    <w:p w14:paraId="4B12D274"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Gleichzeitig spielt digitale Souveränität eine zentrale Rolle: Für einen Großteil der befragten Partner ist ein in Deutschland betriebener MDR-Service mit Datenhaltung innerhalb der EU wichtig, oder sogar ein entscheidendes Auswahlkriterium.</w:t>
      </w:r>
    </w:p>
    <w:p w14:paraId="2C209797"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Als Herausforderung in der Kundenansprache nennen viele Partner fehlendes Verständnis für den Nutzen von MDR. Knapp 30 Prozent berichten zudem von der verbreiteten Einschätzung auf Kundenseite, selbst kein attraktives Angriffsziel für Cyberkriminelle zu sein. </w:t>
      </w:r>
    </w:p>
    <w:p w14:paraId="79644176"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Genau hier setzt </w:t>
      </w:r>
      <w:proofErr w:type="spellStart"/>
      <w:r w:rsidRPr="00E10DFA">
        <w:rPr>
          <w:rFonts w:ascii="Poppins Light" w:hAnsi="Poppins Light" w:cs="Poppins Light"/>
          <w:color w:val="000000"/>
          <w:sz w:val="18"/>
          <w:szCs w:val="18"/>
        </w:rPr>
        <w:t>Enginsight</w:t>
      </w:r>
      <w:proofErr w:type="spellEnd"/>
      <w:r w:rsidRPr="00E10DFA">
        <w:rPr>
          <w:rFonts w:ascii="Poppins Light" w:hAnsi="Poppins Light" w:cs="Poppins Light"/>
          <w:color w:val="000000"/>
          <w:sz w:val="18"/>
          <w:szCs w:val="18"/>
        </w:rPr>
        <w:t xml:space="preserve"> mit seinem MDR-Angebot an. Der Service wird über ein deutsches </w:t>
      </w:r>
      <w:proofErr w:type="spellStart"/>
      <w:r w:rsidRPr="00E10DFA">
        <w:rPr>
          <w:rFonts w:ascii="Poppins Light" w:hAnsi="Poppins Light" w:cs="Poppins Light"/>
          <w:color w:val="000000"/>
          <w:sz w:val="18"/>
          <w:szCs w:val="18"/>
        </w:rPr>
        <w:t>Cyber</w:t>
      </w:r>
      <w:proofErr w:type="spellEnd"/>
      <w:r w:rsidRPr="00E10DFA">
        <w:rPr>
          <w:rFonts w:ascii="Poppins Light" w:hAnsi="Poppins Light" w:cs="Poppins Light"/>
          <w:color w:val="000000"/>
          <w:sz w:val="18"/>
          <w:szCs w:val="18"/>
        </w:rPr>
        <w:t xml:space="preserve"> Defence Center bereitgestellt und basiert auf einer vollständig integrierten Sicherheitsplattform. Dazu gehören </w:t>
      </w:r>
      <w:proofErr w:type="spellStart"/>
      <w:r w:rsidRPr="00E10DFA">
        <w:rPr>
          <w:rFonts w:ascii="Poppins Light" w:hAnsi="Poppins Light" w:cs="Poppins Light"/>
          <w:color w:val="000000"/>
          <w:sz w:val="18"/>
          <w:szCs w:val="18"/>
        </w:rPr>
        <w:t>Endpoint</w:t>
      </w:r>
      <w:proofErr w:type="spellEnd"/>
      <w:r w:rsidRPr="00E10DFA">
        <w:rPr>
          <w:rFonts w:ascii="Poppins Light" w:hAnsi="Poppins Light" w:cs="Poppins Light"/>
          <w:color w:val="000000"/>
          <w:sz w:val="18"/>
          <w:szCs w:val="18"/>
        </w:rPr>
        <w:t xml:space="preserve"> </w:t>
      </w:r>
      <w:proofErr w:type="spellStart"/>
      <w:r w:rsidRPr="00E10DFA">
        <w:rPr>
          <w:rFonts w:ascii="Poppins Light" w:hAnsi="Poppins Light" w:cs="Poppins Light"/>
          <w:color w:val="000000"/>
          <w:sz w:val="18"/>
          <w:szCs w:val="18"/>
        </w:rPr>
        <w:t>Detection</w:t>
      </w:r>
      <w:proofErr w:type="spellEnd"/>
      <w:r w:rsidRPr="00E10DFA">
        <w:rPr>
          <w:rFonts w:ascii="Poppins Light" w:hAnsi="Poppins Light" w:cs="Poppins Light"/>
          <w:color w:val="000000"/>
          <w:sz w:val="18"/>
          <w:szCs w:val="18"/>
        </w:rPr>
        <w:t xml:space="preserve"> and Response, SIEM-Funktionen, Netzwerktransparenz, Schwachstellenmanagement und Sicherheitsmonitoring. Der Ansatz kombiniert technologische Erkennung mit der Bewertung und Priorisierung durch erfahrene Sicherheitsexperten. Unternehmen erhalten dadurch nicht nur Warnmeldungen, sondern konkrete Unterstützung bei Analyse, Eindämmung und Reaktion auf Sicherheitsvorfälle. Zudem werden die Lösungen vollständig in Deutschland entwickelt und können in deutschen Rechenzentren betrieben werden. </w:t>
      </w:r>
    </w:p>
    <w:p w14:paraId="16304242"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Besonders hoch schätzen die befragten Partner den Bedarf in regulierten und kritischen Branchen ein. Betreiber kritischer Infrastrukturen, das Gesundheitswesen und die öffentliche Verwaltung gelten dabei als die wichtigsten Einsatzbereiche für MDR-Lösungen. </w:t>
      </w:r>
    </w:p>
    <w:p w14:paraId="546A9127" w14:textId="77777777" w:rsidR="00E10DFA" w:rsidRDefault="00E10DFA" w:rsidP="00E10DFA">
      <w:pPr>
        <w:spacing w:before="100" w:beforeAutospacing="1" w:after="100" w:afterAutospacing="1" w:line="300" w:lineRule="atLeast"/>
        <w:rPr>
          <w:rFonts w:ascii="Poppins Light" w:hAnsi="Poppins Light" w:cs="Poppins Light"/>
          <w:color w:val="000000"/>
          <w:sz w:val="18"/>
          <w:szCs w:val="18"/>
        </w:rPr>
      </w:pPr>
      <w:proofErr w:type="spellStart"/>
      <w:r w:rsidRPr="00E10DFA">
        <w:rPr>
          <w:rFonts w:ascii="Poppins Light" w:hAnsi="Poppins Light" w:cs="Poppins Light"/>
          <w:b/>
          <w:bCs/>
          <w:color w:val="000000"/>
          <w:sz w:val="18"/>
          <w:szCs w:val="18"/>
        </w:rPr>
        <w:t>Tarantik</w:t>
      </w:r>
      <w:proofErr w:type="spellEnd"/>
      <w:r w:rsidRPr="00E10DFA">
        <w:rPr>
          <w:rFonts w:ascii="Poppins Light" w:hAnsi="Poppins Light" w:cs="Poppins Light"/>
          <w:b/>
          <w:bCs/>
          <w:color w:val="000000"/>
          <w:sz w:val="18"/>
          <w:szCs w:val="18"/>
        </w:rPr>
        <w:t xml:space="preserve"> ergänzt</w:t>
      </w:r>
      <w:r w:rsidRPr="00E10DFA">
        <w:rPr>
          <w:rFonts w:ascii="Poppins Light" w:hAnsi="Poppins Light" w:cs="Poppins Light"/>
          <w:color w:val="000000"/>
          <w:sz w:val="18"/>
          <w:szCs w:val="18"/>
        </w:rPr>
        <w:t>: „</w:t>
      </w:r>
      <w:r w:rsidRPr="00E10DFA">
        <w:rPr>
          <w:rFonts w:ascii="Poppins Light" w:hAnsi="Poppins Light" w:cs="Poppins Light"/>
          <w:i/>
          <w:iCs/>
          <w:color w:val="000000"/>
          <w:sz w:val="18"/>
          <w:szCs w:val="18"/>
        </w:rPr>
        <w:t xml:space="preserve">Die Ergebnisse der </w:t>
      </w:r>
      <w:proofErr w:type="spellStart"/>
      <w:r w:rsidRPr="00E10DFA">
        <w:rPr>
          <w:rFonts w:ascii="Poppins Light" w:hAnsi="Poppins Light" w:cs="Poppins Light"/>
          <w:i/>
          <w:iCs/>
          <w:color w:val="000000"/>
          <w:sz w:val="18"/>
          <w:szCs w:val="18"/>
        </w:rPr>
        <w:t>Enginsight</w:t>
      </w:r>
      <w:proofErr w:type="spellEnd"/>
      <w:r w:rsidRPr="00E10DFA">
        <w:rPr>
          <w:rFonts w:ascii="Poppins Light" w:hAnsi="Poppins Light" w:cs="Poppins Light"/>
          <w:i/>
          <w:iCs/>
          <w:color w:val="000000"/>
          <w:sz w:val="18"/>
          <w:szCs w:val="18"/>
        </w:rPr>
        <w:t xml:space="preserve"> Partnerbefragung belegen deutlich: MDR entwickelt sich vom Spezialthema zu einem zentralen Baustein moderner </w:t>
      </w:r>
      <w:proofErr w:type="spellStart"/>
      <w:r w:rsidRPr="00E10DFA">
        <w:rPr>
          <w:rFonts w:ascii="Poppins Light" w:hAnsi="Poppins Light" w:cs="Poppins Light"/>
          <w:i/>
          <w:iCs/>
          <w:color w:val="000000"/>
          <w:sz w:val="18"/>
          <w:szCs w:val="18"/>
        </w:rPr>
        <w:t>Cybersecurity</w:t>
      </w:r>
      <w:proofErr w:type="spellEnd"/>
      <w:r w:rsidRPr="00E10DFA">
        <w:rPr>
          <w:rFonts w:ascii="Poppins Light" w:hAnsi="Poppins Light" w:cs="Poppins Light"/>
          <w:i/>
          <w:iCs/>
          <w:color w:val="000000"/>
          <w:sz w:val="18"/>
          <w:szCs w:val="18"/>
        </w:rPr>
        <w:t xml:space="preserve">. Steigende regulatorische Anforderungen, zunehmende Bedrohungslagen und der Mangel an Security-Fachkräften schaffen erheblichen Bedarf für professionelle </w:t>
      </w:r>
      <w:proofErr w:type="spellStart"/>
      <w:r w:rsidRPr="00E10DFA">
        <w:rPr>
          <w:rFonts w:ascii="Poppins Light" w:hAnsi="Poppins Light" w:cs="Poppins Light"/>
          <w:i/>
          <w:iCs/>
          <w:color w:val="000000"/>
          <w:sz w:val="18"/>
          <w:szCs w:val="18"/>
        </w:rPr>
        <w:t>Detection</w:t>
      </w:r>
      <w:proofErr w:type="spellEnd"/>
      <w:r w:rsidRPr="00E10DFA">
        <w:rPr>
          <w:rFonts w:ascii="Poppins Light" w:hAnsi="Poppins Light" w:cs="Poppins Light"/>
          <w:i/>
          <w:iCs/>
          <w:color w:val="000000"/>
          <w:sz w:val="18"/>
          <w:szCs w:val="18"/>
        </w:rPr>
        <w:t>- und Response-Services, und eröffnen unseren Partnern zugleich attraktive Wachstumschancen im Security-Markt.“</w:t>
      </w:r>
      <w:r w:rsidRPr="00E10DFA">
        <w:rPr>
          <w:rFonts w:ascii="Poppins Light" w:hAnsi="Poppins Light" w:cs="Poppins Light"/>
          <w:color w:val="000000"/>
          <w:sz w:val="18"/>
          <w:szCs w:val="18"/>
        </w:rPr>
        <w:t xml:space="preserve"> </w:t>
      </w:r>
    </w:p>
    <w:p w14:paraId="023239E2"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p>
    <w:p w14:paraId="174F6155" w14:textId="77777777" w:rsidR="00E10DFA" w:rsidRPr="00E10DFA" w:rsidRDefault="00E10DFA" w:rsidP="00E10DFA">
      <w:pPr>
        <w:spacing w:before="100" w:beforeAutospacing="1" w:after="100" w:afterAutospacing="1" w:line="300" w:lineRule="atLeast"/>
        <w:outlineLvl w:val="1"/>
        <w:rPr>
          <w:rFonts w:ascii="Poppins Light" w:hAnsi="Poppins Light" w:cs="Poppins Light"/>
          <w:caps/>
          <w:color w:val="000000"/>
          <w:sz w:val="30"/>
          <w:szCs w:val="30"/>
        </w:rPr>
      </w:pPr>
      <w:r w:rsidRPr="00E10DFA">
        <w:rPr>
          <w:rFonts w:ascii="Poppins Light" w:hAnsi="Poppins Light" w:cs="Poppins Light"/>
          <w:caps/>
          <w:color w:val="000000"/>
          <w:sz w:val="30"/>
          <w:szCs w:val="30"/>
        </w:rPr>
        <w:lastRenderedPageBreak/>
        <w:t xml:space="preserve">Zentrale Ergebnisse der </w:t>
      </w:r>
      <w:proofErr w:type="spellStart"/>
      <w:r w:rsidRPr="00E10DFA">
        <w:rPr>
          <w:rFonts w:ascii="Poppins Light" w:hAnsi="Poppins Light" w:cs="Poppins Light"/>
          <w:caps/>
          <w:color w:val="000000"/>
          <w:sz w:val="30"/>
          <w:szCs w:val="30"/>
        </w:rPr>
        <w:t>Enginsight</w:t>
      </w:r>
      <w:proofErr w:type="spellEnd"/>
      <w:r w:rsidRPr="00E10DFA">
        <w:rPr>
          <w:rFonts w:ascii="Poppins Light" w:hAnsi="Poppins Light" w:cs="Poppins Light"/>
          <w:caps/>
          <w:color w:val="000000"/>
          <w:sz w:val="30"/>
          <w:szCs w:val="30"/>
        </w:rPr>
        <w:t xml:space="preserve"> Partnerbefragung</w:t>
      </w:r>
    </w:p>
    <w:p w14:paraId="5B55BD63"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85 % beobachten ein gestiegenes </w:t>
      </w:r>
      <w:proofErr w:type="spellStart"/>
      <w:r w:rsidRPr="00E10DFA">
        <w:rPr>
          <w:rFonts w:ascii="Poppins Light" w:hAnsi="Poppins Light" w:cs="Poppins Light"/>
          <w:color w:val="000000"/>
          <w:sz w:val="18"/>
          <w:szCs w:val="18"/>
        </w:rPr>
        <w:t>Cybersecurity</w:t>
      </w:r>
      <w:proofErr w:type="spellEnd"/>
      <w:r w:rsidRPr="00E10DFA">
        <w:rPr>
          <w:rFonts w:ascii="Poppins Light" w:hAnsi="Poppins Light" w:cs="Poppins Light"/>
          <w:color w:val="000000"/>
          <w:sz w:val="18"/>
          <w:szCs w:val="18"/>
        </w:rPr>
        <w:t xml:space="preserve">-Bewusstsein bei ihren Kunden. </w:t>
      </w:r>
    </w:p>
    <w:p w14:paraId="034F720F"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70 % messen deutscher Datenhaltung und einem MDR-Service aus Deutschland hohe Bedeutung bei. </w:t>
      </w:r>
    </w:p>
    <w:p w14:paraId="19D75CED"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40 % sehen kalkulierbare Kosten als wichtigste Anforderung an MDR. </w:t>
      </w:r>
    </w:p>
    <w:p w14:paraId="7614C1C5" w14:textId="77777777" w:rsidR="00E10DFA" w:rsidRP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30 % berichten von der verbreiteten Fehleinschätzung vieler Unternehmen, kein attraktives Angriffsziel zu sein. </w:t>
      </w:r>
    </w:p>
    <w:p w14:paraId="4EC4AC87" w14:textId="77777777" w:rsidR="00E10DFA" w:rsidRDefault="00E10DFA" w:rsidP="00E10DFA">
      <w:pPr>
        <w:spacing w:before="100" w:beforeAutospacing="1" w:after="100" w:afterAutospacing="1" w:line="300" w:lineRule="atLeast"/>
        <w:rPr>
          <w:rFonts w:ascii="Poppins Light" w:hAnsi="Poppins Light" w:cs="Poppins Light"/>
          <w:color w:val="000000"/>
          <w:sz w:val="18"/>
          <w:szCs w:val="18"/>
        </w:rPr>
      </w:pPr>
      <w:r w:rsidRPr="00E10DFA">
        <w:rPr>
          <w:rFonts w:ascii="Poppins Light" w:hAnsi="Poppins Light" w:cs="Poppins Light"/>
          <w:color w:val="000000"/>
          <w:sz w:val="18"/>
          <w:szCs w:val="18"/>
        </w:rPr>
        <w:t xml:space="preserve">Weitere Informationen: </w:t>
      </w:r>
      <w:hyperlink r:id="rId10" w:history="1">
        <w:r w:rsidRPr="00E10DFA">
          <w:rPr>
            <w:rFonts w:ascii="Poppins Light" w:hAnsi="Poppins Light" w:cs="Poppins Light"/>
            <w:color w:val="000000"/>
            <w:sz w:val="18"/>
            <w:szCs w:val="18"/>
          </w:rPr>
          <w:t>ht</w:t>
        </w:r>
        <w:r w:rsidRPr="00E10DFA">
          <w:rPr>
            <w:rFonts w:ascii="Poppins Light" w:hAnsi="Poppins Light" w:cs="Poppins Light"/>
            <w:color w:val="000000"/>
            <w:sz w:val="18"/>
            <w:szCs w:val="18"/>
          </w:rPr>
          <w:t>t</w:t>
        </w:r>
        <w:r w:rsidRPr="00E10DFA">
          <w:rPr>
            <w:rFonts w:ascii="Poppins Light" w:hAnsi="Poppins Light" w:cs="Poppins Light"/>
            <w:color w:val="000000"/>
            <w:sz w:val="18"/>
            <w:szCs w:val="18"/>
          </w:rPr>
          <w:t>ps://enginsight.com/de/managed-detection-and-response/</w:t>
        </w:r>
      </w:hyperlink>
    </w:p>
    <w:p w14:paraId="298A0605" w14:textId="77777777" w:rsidR="00383D06" w:rsidRDefault="00383D06">
      <w:pPr>
        <w:keepNext/>
        <w:spacing w:before="120" w:after="160" w:line="280" w:lineRule="auto"/>
        <w:rPr>
          <w:rFonts w:ascii="Poppins Medium" w:hAnsi="Poppins Medium" w:cs="Poppins Medium"/>
          <w:caps/>
          <w:color w:val="E91E63"/>
        </w:rPr>
      </w:pPr>
    </w:p>
    <w:p w14:paraId="4C23BA8D" w14:textId="13511B1E" w:rsidR="00D26455" w:rsidRDefault="00000000">
      <w:pPr>
        <w:keepNext/>
        <w:spacing w:before="120" w:after="160" w:line="280" w:lineRule="auto"/>
      </w:pPr>
      <w:r>
        <w:rPr>
          <w:rFonts w:ascii="Poppins Medium" w:hAnsi="Poppins Medium" w:cs="Poppins Medium"/>
          <w:caps/>
          <w:color w:val="E91E63"/>
        </w:rPr>
        <w:t>Über Enginsight</w:t>
      </w:r>
    </w:p>
    <w:p w14:paraId="41A47010" w14:textId="68DC0558" w:rsidR="00383D06" w:rsidRPr="00383D06" w:rsidRDefault="00000000" w:rsidP="00E10DFA">
      <w:pPr>
        <w:spacing w:after="320" w:line="280" w:lineRule="auto"/>
        <w:jc w:val="both"/>
        <w:rPr>
          <w:rFonts w:ascii="Poppins Light" w:hAnsi="Poppins Light" w:cs="Poppins Light"/>
          <w:color w:val="000000"/>
          <w:sz w:val="18"/>
          <w:szCs w:val="18"/>
        </w:rPr>
      </w:pPr>
      <w:r>
        <w:rPr>
          <w:rFonts w:ascii="Poppins Light" w:hAnsi="Poppins Light" w:cs="Poppins Light"/>
          <w:color w:val="000000"/>
          <w:sz w:val="18"/>
          <w:szCs w:val="18"/>
        </w:rPr>
        <w:t xml:space="preserve">Enginsight bietet eine umfassende Cybersecurity-Lösung für den Mittelstand. 2017 in Jena gegründet, ist die vollständig inhouse entwickelte Software heute bei zahlreichen KMU im Einsatz. Die </w:t>
      </w:r>
      <w:r w:rsidR="000E7725">
        <w:rPr>
          <w:rFonts w:ascii="Poppins Light" w:hAnsi="Poppins Light" w:cs="Poppins Light"/>
          <w:color w:val="000000"/>
          <w:sz w:val="18"/>
          <w:szCs w:val="18"/>
        </w:rPr>
        <w:t>Enginsight</w:t>
      </w:r>
      <w:r>
        <w:rPr>
          <w:rFonts w:ascii="Poppins Light" w:hAnsi="Poppins Light" w:cs="Poppins Light"/>
          <w:color w:val="000000"/>
          <w:sz w:val="18"/>
          <w:szCs w:val="18"/>
        </w:rPr>
        <w:t>-Plattform vereint Schwachstellenmanagement, Asset Monitoring, Angriffserkennung, Compliance-Analysen und automatisierte Abwehrmaßnahmen in einer einzigen Lösung. Unter dem Leitmotiv „Unsichtbares sichtbar machen“ und „Unsicheres sicher machen“ kombiniert Enginsight Transparenz, Automatisierung und eine praxisnahe Sicherheitsarchitektur, um den Mittelstand effizient und nachhaltig zu schützen – Cybersecurity 100 % Made in Germany.</w:t>
      </w:r>
    </w:p>
    <w:p w14:paraId="549B7402" w14:textId="5DB131D2" w:rsidR="00D26455" w:rsidRDefault="00000000">
      <w:pPr>
        <w:keepNext/>
        <w:spacing w:before="120" w:after="120" w:line="280" w:lineRule="auto"/>
      </w:pPr>
      <w:r>
        <w:rPr>
          <w:rFonts w:ascii="Poppins Medium" w:hAnsi="Poppins Medium" w:cs="Poppins Medium"/>
          <w:caps/>
          <w:color w:val="E91E63"/>
        </w:rPr>
        <w:t>Pressekontakt</w:t>
      </w:r>
    </w:p>
    <w:p w14:paraId="6ABE5AAC" w14:textId="77777777" w:rsidR="00D26455" w:rsidRDefault="00000000">
      <w:pPr>
        <w:spacing w:after="60" w:line="280" w:lineRule="auto"/>
      </w:pPr>
      <w:r>
        <w:rPr>
          <w:rFonts w:ascii="Poppins Light" w:hAnsi="Poppins Light" w:cs="Poppins Light"/>
          <w:b/>
          <w:bCs/>
          <w:color w:val="000000"/>
          <w:sz w:val="18"/>
          <w:szCs w:val="18"/>
        </w:rPr>
        <w:t>Sabine Kuch</w:t>
      </w:r>
    </w:p>
    <w:p w14:paraId="23A9728B" w14:textId="77777777" w:rsidR="00D26455" w:rsidRDefault="00000000">
      <w:pPr>
        <w:spacing w:after="60" w:line="280" w:lineRule="auto"/>
      </w:pPr>
      <w:r>
        <w:rPr>
          <w:rFonts w:ascii="Poppins Light" w:hAnsi="Poppins Light" w:cs="Poppins Light"/>
          <w:color w:val="000000"/>
          <w:sz w:val="18"/>
          <w:szCs w:val="18"/>
        </w:rPr>
        <w:t>Enginsight GmbH</w:t>
      </w:r>
    </w:p>
    <w:p w14:paraId="369C1437" w14:textId="77777777" w:rsidR="00D26455" w:rsidRDefault="00000000">
      <w:pPr>
        <w:spacing w:after="60" w:line="280" w:lineRule="auto"/>
      </w:pPr>
      <w:r>
        <w:rPr>
          <w:rFonts w:ascii="Poppins Light" w:hAnsi="Poppins Light" w:cs="Poppins Light"/>
          <w:color w:val="000000"/>
          <w:sz w:val="18"/>
          <w:szCs w:val="18"/>
        </w:rPr>
        <w:t>sabine.kuch[at]enginsight.com</w:t>
      </w:r>
    </w:p>
    <w:p w14:paraId="1CC05408" w14:textId="77777777" w:rsidR="00D26455" w:rsidRDefault="00000000">
      <w:pPr>
        <w:spacing w:after="320" w:line="280" w:lineRule="auto"/>
      </w:pPr>
      <w:r>
        <w:rPr>
          <w:rFonts w:ascii="Poppins Light" w:hAnsi="Poppins Light" w:cs="Poppins Light"/>
          <w:color w:val="54595F"/>
          <w:sz w:val="18"/>
          <w:szCs w:val="18"/>
        </w:rPr>
        <w:t>enginsight.com</w:t>
      </w:r>
    </w:p>
    <w:p w14:paraId="1964666A" w14:textId="77777777" w:rsidR="00D26455" w:rsidRDefault="00000000">
      <w:pPr>
        <w:pBdr>
          <w:top w:val="single" w:sz="4" w:space="4" w:color="CCCCCC"/>
        </w:pBdr>
        <w:spacing w:before="200" w:line="240" w:lineRule="auto"/>
      </w:pPr>
      <w:r>
        <w:rPr>
          <w:rFonts w:ascii="Poppins Light" w:hAnsi="Poppins Light" w:cs="Poppins Light"/>
          <w:i/>
          <w:iCs/>
          <w:color w:val="54595F"/>
          <w:sz w:val="14"/>
          <w:szCs w:val="14"/>
        </w:rPr>
        <w:t>*Wir verzichten zugunsten der Lesbarkeit auf die gendergerechte Schreibweise; weisen aber an dieser Stelle ausdrücklich darauf hin, dass „Kunde“, „Partner“ etc. alle Geschlechtsidentitäten einbezieht.</w:t>
      </w:r>
    </w:p>
    <w:sectPr w:rsidR="00D26455" w:rsidSect="0007767B">
      <w:headerReference w:type="default" r:id="rId11"/>
      <w:footerReference w:type="default" r:id="rId12"/>
      <w:pgSz w:w="11906" w:h="16838"/>
      <w:pgMar w:top="64" w:right="1418" w:bottom="1134" w:left="1418" w:header="26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EDFC0FD" w14:textId="77777777" w:rsidR="00D70D07" w:rsidRDefault="00D70D07" w:rsidP="006F1D54">
      <w:pPr>
        <w:spacing w:line="240" w:lineRule="auto"/>
      </w:pPr>
      <w:r>
        <w:separator/>
      </w:r>
    </w:p>
  </w:endnote>
  <w:endnote w:type="continuationSeparator" w:id="0">
    <w:p w14:paraId="55058265" w14:textId="77777777" w:rsidR="00D70D07" w:rsidRDefault="00D70D07" w:rsidP="006F1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Fonts w:ascii="Poppins Light" w:hAnsi="Poppins Light" w:cs="Poppins Light"/>
        <w:sz w:val="14"/>
        <w:szCs w:val="14"/>
      </w:rPr>
      <w:id w:val="887840559"/>
      <w:docPartObj>
        <w:docPartGallery w:val="Page Numbers (Bottom of Page)"/>
        <w:docPartUnique/>
      </w:docPartObj>
    </w:sdtPr>
    <w:sdtContent>
      <w:sdt>
        <w:sdtPr>
          <w:rPr>
            <w:rFonts w:ascii="Poppins Light" w:hAnsi="Poppins Light" w:cs="Poppins Light"/>
            <w:sz w:val="14"/>
            <w:szCs w:val="14"/>
          </w:rPr>
          <w:id w:val="-1769616900"/>
          <w:docPartObj>
            <w:docPartGallery w:val="Page Numbers (Top of Page)"/>
            <w:docPartUnique/>
          </w:docPartObj>
        </w:sdtPr>
        <w:sdtContent>
          <w:p w14:paraId="68B5508C" w14:textId="77777777" w:rsidR="00027E97" w:rsidRPr="009700CE" w:rsidRDefault="00027E97">
            <w:pPr>
              <w:pStyle w:val="Fuzeile"/>
              <w:jc w:val="right"/>
              <w:rPr>
                <w:rFonts w:ascii="Poppins Light" w:hAnsi="Poppins Light" w:cs="Poppins Light"/>
                <w:sz w:val="14"/>
                <w:szCs w:val="14"/>
              </w:rPr>
            </w:pPr>
            <w:r w:rsidRPr="009700CE">
              <w:rPr>
                <w:rFonts w:ascii="Poppins Light" w:hAnsi="Poppins Light" w:cs="Poppins Light"/>
                <w:sz w:val="14"/>
                <w:szCs w:val="14"/>
              </w:rPr>
              <w:t xml:space="preserve">Seite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PAGE</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r w:rsidRPr="009700CE">
              <w:rPr>
                <w:rFonts w:ascii="Poppins Light" w:hAnsi="Poppins Light" w:cs="Poppins Light"/>
                <w:sz w:val="14"/>
                <w:szCs w:val="14"/>
              </w:rPr>
              <w:t xml:space="preserve"> von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NUMPAGES</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p>
        </w:sdtContent>
      </w:sdt>
    </w:sdtContent>
  </w:sdt>
  <w:p w14:paraId="0EE00260" w14:textId="77777777" w:rsidR="006F1D54" w:rsidRPr="009700CE" w:rsidRDefault="006F1D54">
    <w:pPr>
      <w:pStyle w:val="Fuzeile"/>
      <w:rPr>
        <w:rFonts w:ascii="Poppins Light" w:hAnsi="Poppins Light" w:cs="Poppins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C45173F" w14:textId="77777777" w:rsidR="00D70D07" w:rsidRDefault="00D70D07" w:rsidP="006F1D54">
      <w:pPr>
        <w:spacing w:line="240" w:lineRule="auto"/>
      </w:pPr>
      <w:r>
        <w:separator/>
      </w:r>
    </w:p>
  </w:footnote>
  <w:footnote w:type="continuationSeparator" w:id="0">
    <w:p w14:paraId="70B9683F" w14:textId="77777777" w:rsidR="00D70D07" w:rsidRDefault="00D70D07" w:rsidP="006F1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5C85C8" w14:textId="77777777" w:rsidR="00211552" w:rsidRDefault="00AC4E8E">
    <w:pPr>
      <w:pStyle w:val="Kopfzeile"/>
    </w:pPr>
    <w:r>
      <w:rPr>
        <w:noProof/>
      </w:rPr>
      <w:drawing>
        <wp:anchor distT="0" distB="0" distL="114300" distR="114300" simplePos="0" relativeHeight="251658240" behindDoc="1" locked="0" layoutInCell="1" allowOverlap="1" wp14:anchorId="0A65E7C2" wp14:editId="0EEE09A8">
          <wp:simplePos x="0" y="0"/>
          <wp:positionH relativeFrom="column">
            <wp:posOffset>-910055</wp:posOffset>
          </wp:positionH>
          <wp:positionV relativeFrom="paragraph">
            <wp:posOffset>-1675331</wp:posOffset>
          </wp:positionV>
          <wp:extent cx="7559662" cy="1069326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62" cy="10693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34F7E0A"/>
    <w:multiLevelType w:val="multilevel"/>
    <w:tmpl w:val="4174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615D9"/>
    <w:multiLevelType w:val="multilevel"/>
    <w:tmpl w:val="A18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441845">
    <w:abstractNumId w:val="0"/>
  </w:num>
  <w:num w:numId="2" w16cid:durableId="20494827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3"/>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92"/>
    <w:rsid w:val="00027E97"/>
    <w:rsid w:val="00077092"/>
    <w:rsid w:val="0007767B"/>
    <w:rsid w:val="00097833"/>
    <w:rsid w:val="000E7725"/>
    <w:rsid w:val="001F2929"/>
    <w:rsid w:val="00211552"/>
    <w:rsid w:val="00277C10"/>
    <w:rsid w:val="002B6143"/>
    <w:rsid w:val="002C56DD"/>
    <w:rsid w:val="002F1181"/>
    <w:rsid w:val="00311639"/>
    <w:rsid w:val="00367C97"/>
    <w:rsid w:val="00383D06"/>
    <w:rsid w:val="0039466C"/>
    <w:rsid w:val="003D260E"/>
    <w:rsid w:val="003F3792"/>
    <w:rsid w:val="00411B0F"/>
    <w:rsid w:val="00413590"/>
    <w:rsid w:val="00446EDA"/>
    <w:rsid w:val="0045193F"/>
    <w:rsid w:val="00476A0B"/>
    <w:rsid w:val="004A7617"/>
    <w:rsid w:val="004F1FCE"/>
    <w:rsid w:val="005F14B3"/>
    <w:rsid w:val="0061547A"/>
    <w:rsid w:val="00625C7C"/>
    <w:rsid w:val="00640CC5"/>
    <w:rsid w:val="006519AA"/>
    <w:rsid w:val="00657F81"/>
    <w:rsid w:val="006C38D0"/>
    <w:rsid w:val="006D5582"/>
    <w:rsid w:val="006F1D54"/>
    <w:rsid w:val="00763A4C"/>
    <w:rsid w:val="00791B8B"/>
    <w:rsid w:val="008045FA"/>
    <w:rsid w:val="008050CF"/>
    <w:rsid w:val="00822DF8"/>
    <w:rsid w:val="00824C1F"/>
    <w:rsid w:val="00835E23"/>
    <w:rsid w:val="00883FA1"/>
    <w:rsid w:val="008B260B"/>
    <w:rsid w:val="008E3AAC"/>
    <w:rsid w:val="00912ADA"/>
    <w:rsid w:val="00917E1E"/>
    <w:rsid w:val="00954506"/>
    <w:rsid w:val="009700CE"/>
    <w:rsid w:val="009F3ABE"/>
    <w:rsid w:val="00A07A0E"/>
    <w:rsid w:val="00A214CC"/>
    <w:rsid w:val="00A35ACE"/>
    <w:rsid w:val="00A563D4"/>
    <w:rsid w:val="00A62992"/>
    <w:rsid w:val="00A71789"/>
    <w:rsid w:val="00A80709"/>
    <w:rsid w:val="00A9345D"/>
    <w:rsid w:val="00AC4E8E"/>
    <w:rsid w:val="00B12D2F"/>
    <w:rsid w:val="00BB439E"/>
    <w:rsid w:val="00C277D6"/>
    <w:rsid w:val="00C565AF"/>
    <w:rsid w:val="00CC3B34"/>
    <w:rsid w:val="00CD6098"/>
    <w:rsid w:val="00CF1468"/>
    <w:rsid w:val="00D13798"/>
    <w:rsid w:val="00D26455"/>
    <w:rsid w:val="00D70D07"/>
    <w:rsid w:val="00D8315B"/>
    <w:rsid w:val="00D84339"/>
    <w:rsid w:val="00DD1C4A"/>
    <w:rsid w:val="00E10DFA"/>
    <w:rsid w:val="00E612D1"/>
    <w:rsid w:val="00EA2D68"/>
    <w:rsid w:val="00F021DE"/>
    <w:rsid w:val="00F07DB6"/>
    <w:rsid w:val="00F27987"/>
    <w:rsid w:val="00F47CB3"/>
    <w:rsid w:val="00F701CB"/>
    <w:rsid w:val="00F933BF"/>
    <w:rsid w:val="00FB4800"/>
    <w:rsid w:val="00FB6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2FF5"/>
  <w15:chartTrackingRefBased/>
  <w15:docId w15:val="{584BA701-096D-491E-9D26-82D53F82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552"/>
    <w:pPr>
      <w:spacing w:after="0" w:line="320" w:lineRule="exact"/>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1D5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F1D54"/>
  </w:style>
  <w:style w:type="paragraph" w:styleId="Fuzeile">
    <w:name w:val="footer"/>
    <w:basedOn w:val="Standard"/>
    <w:link w:val="FuzeileZchn"/>
    <w:uiPriority w:val="99"/>
    <w:unhideWhenUsed/>
    <w:rsid w:val="006F1D5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F1D54"/>
  </w:style>
  <w:style w:type="table" w:styleId="Tabellenraster">
    <w:name w:val="Table Grid"/>
    <w:basedOn w:val="NormaleTabelle"/>
    <w:uiPriority w:val="39"/>
    <w:rsid w:val="00F70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3D260E"/>
    <w:pPr>
      <w:spacing w:after="0" w:line="240" w:lineRule="auto"/>
    </w:pPr>
    <w:rPr>
      <w:rFonts w:ascii="Roboto Light" w:hAnsi="Roboto Light"/>
    </w:rPr>
    <w:tblPr/>
  </w:style>
  <w:style w:type="table" w:styleId="Gitternetztabelle2Akzent2">
    <w:name w:val="Grid Table 2 Accent 2"/>
    <w:basedOn w:val="NormaleTabelle"/>
    <w:uiPriority w:val="47"/>
    <w:rsid w:val="003D260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vorlage2">
    <w:name w:val="Formatvorlage2"/>
    <w:basedOn w:val="Tabellendesign"/>
    <w:uiPriority w:val="99"/>
    <w:rsid w:val="00097833"/>
    <w:pPr>
      <w:spacing w:line="240" w:lineRule="auto"/>
    </w:pPr>
    <w:tblPr>
      <w:tblStyleRowBandSize w:val="1"/>
    </w:tblPr>
    <w:tblStylePr w:type="firstRow">
      <w:pPr>
        <w:jc w:val="center"/>
      </w:pPr>
      <w:rPr>
        <w:rFonts w:ascii="Roboto Medium" w:hAnsi="Roboto Medium"/>
        <w:b/>
        <w:color w:val="FFFFFF" w:themeColor="background1"/>
        <w:sz w:val="18"/>
      </w:rPr>
      <w:tblPr/>
      <w:tcPr>
        <w:tcBorders>
          <w:top w:val="nil"/>
          <w:left w:val="nil"/>
          <w:bottom w:val="nil"/>
          <w:right w:val="nil"/>
          <w:insideH w:val="nil"/>
          <w:insideV w:val="single" w:sz="18" w:space="0" w:color="FFFFFF" w:themeColor="background1"/>
          <w:tl2br w:val="nil"/>
          <w:tr2bl w:val="nil"/>
        </w:tcBorders>
        <w:shd w:val="clear" w:color="auto" w:fill="E91E63"/>
      </w:tcPr>
    </w:tblStylePr>
    <w:tblStylePr w:type="firstCol">
      <w:pPr>
        <w:jc w:val="center"/>
      </w:pPr>
      <w:tblPr/>
      <w:tcPr>
        <w:tcBorders>
          <w:right w:val="single" w:sz="18" w:space="0" w:color="54595F"/>
        </w:tcBorders>
      </w:tcPr>
    </w:tblStylePr>
    <w:tblStylePr w:type="band1Horz">
      <w:tblPr/>
      <w:tcPr>
        <w:tcBorders>
          <w:top w:val="nil"/>
          <w:left w:val="nil"/>
          <w:bottom w:val="nil"/>
          <w:right w:val="nil"/>
          <w:insideH w:val="nil"/>
          <w:insideV w:val="nil"/>
          <w:tl2br w:val="nil"/>
          <w:tr2bl w:val="nil"/>
        </w:tcBorders>
        <w:shd w:val="clear" w:color="auto" w:fill="E9EAEB"/>
      </w:tcPr>
    </w:tblStylePr>
    <w:tblStylePr w:type="band2Horz">
      <w:pPr>
        <w:jc w:val="left"/>
      </w:pPr>
      <w:rPr>
        <w:rFonts w:ascii="Roboto Light" w:hAnsi="Roboto Light"/>
        <w:sz w:val="18"/>
      </w:rPr>
      <w:tblPr/>
      <w:tcPr>
        <w:tcBorders>
          <w:top w:val="nil"/>
          <w:left w:val="nil"/>
          <w:bottom w:val="nil"/>
          <w:right w:val="nil"/>
          <w:insideH w:val="nil"/>
          <w:insideV w:val="nil"/>
          <w:tl2br w:val="nil"/>
          <w:tr2bl w:val="nil"/>
        </w:tcBorders>
      </w:tcPr>
    </w:tblStylePr>
  </w:style>
  <w:style w:type="table" w:styleId="Tabellendesign">
    <w:name w:val="Table Theme"/>
    <w:basedOn w:val="NormaleTabelle"/>
    <w:uiPriority w:val="99"/>
    <w:semiHidden/>
    <w:unhideWhenUsed/>
    <w:rsid w:val="00097833"/>
    <w:pPr>
      <w:spacing w:after="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9345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345D"/>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612D1"/>
    <w:rPr>
      <w:color w:val="0563C1" w:themeColor="hyperlink"/>
      <w:u w:val="single"/>
    </w:rPr>
  </w:style>
  <w:style w:type="character" w:customStyle="1" w:styleId="NichtaufgelsteErwhnung1">
    <w:name w:val="Nicht aufgelöste Erwähnung1"/>
    <w:basedOn w:val="Absatz-Standardschriftart"/>
    <w:uiPriority w:val="99"/>
    <w:semiHidden/>
    <w:unhideWhenUsed/>
    <w:rsid w:val="00E612D1"/>
    <w:rPr>
      <w:color w:val="605E5C"/>
      <w:shd w:val="clear" w:color="auto" w:fill="E1DFDD"/>
    </w:rPr>
  </w:style>
  <w:style w:type="paragraph" w:styleId="KeinLeerraum">
    <w:name w:val="No Spacing"/>
    <w:link w:val="KeinLeerraumZchn"/>
    <w:uiPriority w:val="1"/>
    <w:qFormat/>
    <w:rsid w:val="00211552"/>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211552"/>
    <w:rPr>
      <w:rFonts w:eastAsiaTheme="minorEastAsia"/>
      <w:lang w:eastAsia="de-DE"/>
    </w:rPr>
  </w:style>
  <w:style w:type="paragraph" w:styleId="Listenabsatz">
    <w:name w:val="List Paragraph"/>
    <w:basedOn w:val="Standard"/>
    <w:uiPriority w:val="34"/>
    <w:qFormat/>
    <w:rsid w:val="00367C97"/>
    <w:pPr>
      <w:ind w:left="720"/>
      <w:contextualSpacing/>
    </w:pPr>
  </w:style>
  <w:style w:type="character" w:styleId="NichtaufgelsteErwhnung">
    <w:name w:val="Unresolved Mention"/>
    <w:basedOn w:val="Absatz-Standardschriftart"/>
    <w:uiPriority w:val="99"/>
    <w:semiHidden/>
    <w:unhideWhenUsed/>
    <w:rsid w:val="006D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insight.com/de/managed-detection-and-resp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4b70dc-15e8-4bd4-95cc-5fc6e5d806b9">
      <Terms xmlns="http://schemas.microsoft.com/office/infopath/2007/PartnerControls"/>
    </lcf76f155ced4ddcb4097134ff3c332f>
    <TaxCatchAll xmlns="67717297-375d-4094-aebf-8df56d003c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B9B091AAB57746A4066DF9540ABAD7" ma:contentTypeVersion="13" ma:contentTypeDescription="Ein neues Dokument erstellen." ma:contentTypeScope="" ma:versionID="06ae1e7c8ef2fc41174655a9771ce1ed">
  <xsd:schema xmlns:xsd="http://www.w3.org/2001/XMLSchema" xmlns:xs="http://www.w3.org/2001/XMLSchema" xmlns:p="http://schemas.microsoft.com/office/2006/metadata/properties" xmlns:ns2="af4b70dc-15e8-4bd4-95cc-5fc6e5d806b9" xmlns:ns3="67717297-375d-4094-aebf-8df56d003c3c" targetNamespace="http://schemas.microsoft.com/office/2006/metadata/properties" ma:root="true" ma:fieldsID="e8f225c759b56d1186ad3a46a5bc45f1" ns2:_="" ns3:_="">
    <xsd:import namespace="af4b70dc-15e8-4bd4-95cc-5fc6e5d806b9"/>
    <xsd:import namespace="67717297-375d-4094-aebf-8df56d003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b70dc-15e8-4bd4-95cc-5fc6e5d8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d8085f1-c13c-4d6c-82bb-d85fbf6196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7297-375d-4094-aebf-8df56d003c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2bdb93-8031-467a-8c10-fd7e755b6f22}" ma:internalName="TaxCatchAll" ma:showField="CatchAllData" ma:web="67717297-375d-4094-aebf-8df56d003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8498B-877F-4D24-826B-51725BB21A71}">
  <ds:schemaRefs>
    <ds:schemaRef ds:uri="http://schemas.microsoft.com/office/2006/metadata/properties"/>
    <ds:schemaRef ds:uri="http://schemas.microsoft.com/office/infopath/2007/PartnerControls"/>
    <ds:schemaRef ds:uri="af4b70dc-15e8-4bd4-95cc-5fc6e5d806b9"/>
    <ds:schemaRef ds:uri="67717297-375d-4094-aebf-8df56d003c3c"/>
  </ds:schemaRefs>
</ds:datastoreItem>
</file>

<file path=customXml/itemProps2.xml><?xml version="1.0" encoding="utf-8"?>
<ds:datastoreItem xmlns:ds="http://schemas.openxmlformats.org/officeDocument/2006/customXml" ds:itemID="{0C2AAC69-1EAF-4F46-9971-8499E39732D3}">
  <ds:schemaRefs>
    <ds:schemaRef ds:uri="http://schemas.microsoft.com/sharepoint/v3/contenttype/forms"/>
  </ds:schemaRefs>
</ds:datastoreItem>
</file>

<file path=customXml/itemProps3.xml><?xml version="1.0" encoding="utf-8"?>
<ds:datastoreItem xmlns:ds="http://schemas.openxmlformats.org/officeDocument/2006/customXml" ds:itemID="{129E51C9-350A-415B-8128-8940B848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b70dc-15e8-4bd4-95cc-5fc6e5d806b9"/>
    <ds:schemaRef ds:uri="67717297-375d-4094-aebf-8df56d003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5510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Schulze</dc:creator>
  <cp:keywords/>
  <dc:description/>
  <cp:lastModifiedBy>Sabine Kuch (Extern)</cp:lastModifiedBy>
  <cp:revision>2</cp:revision>
  <cp:lastPrinted>2026-04-30T10:41:00Z</cp:lastPrinted>
  <dcterms:created xsi:type="dcterms:W3CDTF">2026-07-21T07:01:00Z</dcterms:created>
  <dcterms:modified xsi:type="dcterms:W3CDTF">2026-07-21T07:01:00Z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0x010100D7B9B091AAB57746A4066DF9540ABAD7</vt:lpwstr>
  </property>
  <property fmtid="{D5CDD505-2E9C-101B-9397-08002B2CF9AE}" pid="3" name="MediaServiceImageTags">
    <vt:lpwstr/>
  </property>
</Properties>
</file>