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6848079C" w14:textId="764DF1A3" w:rsidR="00BF5413" w:rsidRPr="008B1159" w:rsidRDefault="00BF5413" w:rsidP="00BF5413">
      <w:pPr>
        <w:spacing w:before="100" w:beforeAutospacing="1" w:after="100" w:afterAutospacing="1" w:line="300" w:lineRule="atLeast"/>
        <w:outlineLvl w:val="0"/>
        <w:rPr>
          <w:rFonts w:ascii="Segoe UI" w:hAnsi="Segoe UI" w:cs="Segoe UI"/>
          <w:b/>
          <w:bCs/>
          <w:kern w:val="36"/>
          <w:sz w:val="48"/>
          <w:szCs w:val="48"/>
        </w:rPr>
      </w:pPr>
      <w:proofErr w:type="spellStart"/>
      <w:r w:rsidRPr="00BF5413">
        <w:rPr>
          <w:rFonts w:ascii="Poppins" w:hAnsi="Poppins" w:cs="Poppins"/>
          <w:sz w:val="36"/>
          <w:szCs w:val="36"/>
        </w:rPr>
        <w:t>Enginsight</w:t>
      </w:r>
      <w:proofErr w:type="spellEnd"/>
      <w:r w:rsidRPr="00BF5413">
        <w:rPr>
          <w:rFonts w:ascii="Poppins" w:hAnsi="Poppins" w:cs="Poppins"/>
          <w:sz w:val="36"/>
          <w:szCs w:val="36"/>
        </w:rPr>
        <w:t xml:space="preserve"> Partnertag 2026: Gemeinsam Chancen im Security</w:t>
      </w:r>
      <w:r w:rsidRPr="00BF5413">
        <w:rPr>
          <w:rFonts w:ascii="Poppins" w:hAnsi="Poppins" w:cs="Poppins"/>
          <w:sz w:val="36"/>
          <w:szCs w:val="36"/>
        </w:rPr>
        <w:noBreakHyphen/>
        <w:t>Markt nutzen</w:t>
      </w:r>
    </w:p>
    <w:p w14:paraId="2E58E9ED"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b/>
          <w:bCs/>
          <w:color w:val="000000"/>
          <w:sz w:val="18"/>
          <w:szCs w:val="18"/>
        </w:rPr>
        <w:t>Jena, 16. Juni 2026</w:t>
      </w:r>
      <w:r w:rsidRPr="00BF5413">
        <w:rPr>
          <w:rFonts w:ascii="Poppins Light" w:hAnsi="Poppins Light" w:cs="Poppins Light"/>
          <w:color w:val="000000"/>
          <w:sz w:val="18"/>
          <w:szCs w:val="18"/>
        </w:rPr>
        <w:t xml:space="preserve"> –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lädt am 18. Juni 2026 zum Partnertag in den </w:t>
      </w:r>
      <w:proofErr w:type="spellStart"/>
      <w:r w:rsidRPr="00BF5413">
        <w:rPr>
          <w:rFonts w:ascii="Poppins Light" w:hAnsi="Poppins Light" w:cs="Poppins Light"/>
          <w:color w:val="000000"/>
          <w:sz w:val="18"/>
          <w:szCs w:val="18"/>
        </w:rPr>
        <w:t>Zughafen</w:t>
      </w:r>
      <w:proofErr w:type="spellEnd"/>
      <w:r w:rsidRPr="00BF5413">
        <w:rPr>
          <w:rFonts w:ascii="Poppins Light" w:hAnsi="Poppins Light" w:cs="Poppins Light"/>
          <w:color w:val="000000"/>
          <w:sz w:val="18"/>
          <w:szCs w:val="18"/>
        </w:rPr>
        <w:t xml:space="preserve"> Erfurt ein. Dort trifft sich das deutschlandweite Partnernetzwerk, um über neue Technologien, Marktentwicklungen und vor allem darüber zu sprechen, wie sich die wachsenden Chancen im </w:t>
      </w:r>
      <w:proofErr w:type="spellStart"/>
      <w:r w:rsidRPr="00BF5413">
        <w:rPr>
          <w:rFonts w:ascii="Poppins Light" w:hAnsi="Poppins Light" w:cs="Poppins Light"/>
          <w:color w:val="000000"/>
          <w:sz w:val="18"/>
          <w:szCs w:val="18"/>
        </w:rPr>
        <w:t>Cybersecurity</w:t>
      </w:r>
      <w:proofErr w:type="spellEnd"/>
      <w:r w:rsidRPr="00BF5413">
        <w:rPr>
          <w:rFonts w:ascii="Poppins Light" w:hAnsi="Poppins Light" w:cs="Poppins Light"/>
          <w:color w:val="000000"/>
          <w:sz w:val="18"/>
          <w:szCs w:val="18"/>
        </w:rPr>
        <w:noBreakHyphen/>
        <w:t xml:space="preserve">Markt gemeinsam erfolgreich nutzen lassen. Im Mittelpunkt steht dabei die enge, vertrauensvolle Zusammenarbeit zwischen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und seinen Partnern als zentraler Treiber für nachhaltiges Wachstum.</w:t>
      </w:r>
    </w:p>
    <w:p w14:paraId="24130569" w14:textId="77777777" w:rsidR="00BF5413" w:rsidRPr="00BF5413" w:rsidRDefault="00BF5413" w:rsidP="00BF5413">
      <w:pPr>
        <w:spacing w:before="100" w:beforeAutospacing="1" w:after="100" w:afterAutospacing="1" w:line="300" w:lineRule="atLeast"/>
        <w:outlineLvl w:val="1"/>
        <w:rPr>
          <w:rFonts w:ascii="Poppins" w:hAnsi="Poppins" w:cs="Poppins"/>
          <w:sz w:val="36"/>
          <w:szCs w:val="36"/>
        </w:rPr>
      </w:pPr>
      <w:r w:rsidRPr="00BF5413">
        <w:rPr>
          <w:rFonts w:ascii="Poppins" w:hAnsi="Poppins" w:cs="Poppins"/>
          <w:sz w:val="36"/>
          <w:szCs w:val="36"/>
        </w:rPr>
        <w:t>Starkes Netzwerk als Wachstumsmotor</w:t>
      </w:r>
    </w:p>
    <w:p w14:paraId="08C35E98"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color w:val="000000"/>
          <w:sz w:val="18"/>
          <w:szCs w:val="18"/>
        </w:rPr>
        <w:t xml:space="preserve">Als Sponsoren unterstützen </w:t>
      </w:r>
      <w:r w:rsidRPr="00BF5413">
        <w:rPr>
          <w:rFonts w:ascii="Poppins Light" w:hAnsi="Poppins Light" w:cs="Poppins Light"/>
          <w:b/>
          <w:bCs/>
          <w:color w:val="000000"/>
          <w:sz w:val="18"/>
          <w:szCs w:val="18"/>
        </w:rPr>
        <w:t>ADN</w:t>
      </w:r>
      <w:r w:rsidRPr="00BF5413">
        <w:rPr>
          <w:rFonts w:ascii="Poppins Light" w:hAnsi="Poppins Light" w:cs="Poppins Light"/>
          <w:color w:val="000000"/>
          <w:sz w:val="18"/>
          <w:szCs w:val="18"/>
        </w:rPr>
        <w:t xml:space="preserve">, </w:t>
      </w:r>
      <w:r w:rsidRPr="00BF5413">
        <w:rPr>
          <w:rFonts w:ascii="Poppins Light" w:hAnsi="Poppins Light" w:cs="Poppins Light"/>
          <w:b/>
          <w:bCs/>
          <w:color w:val="000000"/>
          <w:sz w:val="18"/>
          <w:szCs w:val="18"/>
        </w:rPr>
        <w:t>ALSO</w:t>
      </w:r>
      <w:r w:rsidRPr="00BF5413">
        <w:rPr>
          <w:rFonts w:ascii="Poppins Light" w:hAnsi="Poppins Light" w:cs="Poppins Light"/>
          <w:color w:val="000000"/>
          <w:sz w:val="18"/>
          <w:szCs w:val="18"/>
        </w:rPr>
        <w:t xml:space="preserve"> und </w:t>
      </w:r>
      <w:r w:rsidRPr="00BF5413">
        <w:rPr>
          <w:rFonts w:ascii="Poppins Light" w:hAnsi="Poppins Light" w:cs="Poppins Light"/>
          <w:b/>
          <w:bCs/>
          <w:color w:val="000000"/>
          <w:sz w:val="18"/>
          <w:szCs w:val="18"/>
        </w:rPr>
        <w:t xml:space="preserve">TAROX </w:t>
      </w:r>
      <w:r w:rsidRPr="00BF5413">
        <w:rPr>
          <w:rFonts w:ascii="Poppins Light" w:hAnsi="Poppins Light" w:cs="Poppins Light"/>
          <w:color w:val="000000"/>
          <w:sz w:val="18"/>
          <w:szCs w:val="18"/>
        </w:rPr>
        <w:t>die Veranstaltung. ADN verbindet als führender Value</w:t>
      </w:r>
      <w:r w:rsidRPr="00BF5413">
        <w:rPr>
          <w:rFonts w:ascii="Poppins Light" w:hAnsi="Poppins Light" w:cs="Poppins Light"/>
          <w:color w:val="000000"/>
          <w:sz w:val="18"/>
          <w:szCs w:val="18"/>
        </w:rPr>
        <w:noBreakHyphen/>
      </w:r>
      <w:proofErr w:type="spellStart"/>
      <w:r w:rsidRPr="00BF5413">
        <w:rPr>
          <w:rFonts w:ascii="Poppins Light" w:hAnsi="Poppins Light" w:cs="Poppins Light"/>
          <w:color w:val="000000"/>
          <w:sz w:val="18"/>
          <w:szCs w:val="18"/>
        </w:rPr>
        <w:t>Added</w:t>
      </w:r>
      <w:proofErr w:type="spellEnd"/>
      <w:r w:rsidRPr="00BF5413">
        <w:rPr>
          <w:rFonts w:ascii="Poppins Light" w:hAnsi="Poppins Light" w:cs="Poppins Light"/>
          <w:color w:val="000000"/>
          <w:sz w:val="18"/>
          <w:szCs w:val="18"/>
        </w:rPr>
        <w:t xml:space="preserve"> Distributor Hersteller wie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mit Resellern und erschließt neue Marktpotenziale. ALSO bietet Zugang zu einem breiten Portfolio und </w:t>
      </w:r>
      <w:proofErr w:type="gramStart"/>
      <w:r w:rsidRPr="00BF5413">
        <w:rPr>
          <w:rFonts w:ascii="Poppins Light" w:hAnsi="Poppins Light" w:cs="Poppins Light"/>
          <w:color w:val="000000"/>
          <w:sz w:val="18"/>
          <w:szCs w:val="18"/>
        </w:rPr>
        <w:t>einem Cloud</w:t>
      </w:r>
      <w:proofErr w:type="gramEnd"/>
      <w:r w:rsidRPr="00BF5413">
        <w:rPr>
          <w:rFonts w:ascii="Poppins Light" w:hAnsi="Poppins Light" w:cs="Poppins Light"/>
          <w:color w:val="000000"/>
          <w:sz w:val="18"/>
          <w:szCs w:val="18"/>
        </w:rPr>
        <w:noBreakHyphen/>
        <w:t>Marktplatz für IT</w:t>
      </w:r>
      <w:r w:rsidRPr="00BF5413">
        <w:rPr>
          <w:rFonts w:ascii="Poppins Light" w:hAnsi="Poppins Light" w:cs="Poppins Light"/>
          <w:color w:val="000000"/>
          <w:sz w:val="18"/>
          <w:szCs w:val="18"/>
        </w:rPr>
        <w:noBreakHyphen/>
        <w:t>Lösungen. TAROX ergänzt als deutscher IT</w:t>
      </w:r>
      <w:r w:rsidRPr="00BF5413">
        <w:rPr>
          <w:rFonts w:ascii="Poppins Light" w:hAnsi="Poppins Light" w:cs="Poppins Light"/>
          <w:color w:val="000000"/>
          <w:sz w:val="18"/>
          <w:szCs w:val="18"/>
        </w:rPr>
        <w:noBreakHyphen/>
        <w:t xml:space="preserve">Komplettanbieter und Hersteller das Ökosystem mit umfassenden Lösungen für den Mittelstand. Gemeinsam stehen sie exemplarisch für die Stärke und Dynamik des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noBreakHyphen/>
        <w:t>Partnernetzwerks.</w:t>
      </w:r>
    </w:p>
    <w:p w14:paraId="4A10B1B4"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color w:val="000000"/>
          <w:sz w:val="18"/>
          <w:szCs w:val="18"/>
        </w:rPr>
        <w:t xml:space="preserve">Inhaltlich setzt der Partnertag klare Impulse für die Zukunft. Nach einem bewusst lockeren Auftakt mit Comedy präsentiert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seine Roadmap und kommende Innovationen. Neue Plattform-Features werden anschließend live demonstriert, mit unmittelbarem Praxisbezug für das Partnergeschäft.</w:t>
      </w:r>
    </w:p>
    <w:p w14:paraId="7D7E20FA" w14:textId="77777777" w:rsidR="00BF5413" w:rsidRPr="00BF5413" w:rsidRDefault="00BF5413" w:rsidP="00BF5413">
      <w:pPr>
        <w:spacing w:before="100" w:beforeAutospacing="1" w:after="100" w:afterAutospacing="1" w:line="300" w:lineRule="atLeast"/>
        <w:outlineLvl w:val="1"/>
        <w:rPr>
          <w:rFonts w:ascii="Poppins" w:hAnsi="Poppins" w:cs="Poppins"/>
          <w:sz w:val="36"/>
          <w:szCs w:val="36"/>
        </w:rPr>
      </w:pPr>
      <w:r w:rsidRPr="00BF5413">
        <w:rPr>
          <w:rFonts w:ascii="Poppins" w:hAnsi="Poppins" w:cs="Poppins"/>
          <w:sz w:val="36"/>
          <w:szCs w:val="36"/>
        </w:rPr>
        <w:t>Markt im Umbruch eröffnet neue Geschäftschancen</w:t>
      </w:r>
    </w:p>
    <w:p w14:paraId="6AC407CF"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color w:val="000000"/>
          <w:sz w:val="18"/>
          <w:szCs w:val="18"/>
        </w:rPr>
        <w:t xml:space="preserve">Im Panel „Wie sich das Security-Geschäft neu aufstellt“ diskutieren Partner gemeinsam mit COO und Mitgründer Max Tarantik die wichtigsten Entwicklungen im Markt. Im Fokus stehen </w:t>
      </w:r>
      <w:proofErr w:type="spellStart"/>
      <w:r w:rsidRPr="00BF5413">
        <w:rPr>
          <w:rFonts w:ascii="Poppins Light" w:hAnsi="Poppins Light" w:cs="Poppins Light"/>
          <w:color w:val="000000"/>
          <w:sz w:val="18"/>
          <w:szCs w:val="18"/>
        </w:rPr>
        <w:t>Managed</w:t>
      </w:r>
      <w:proofErr w:type="spellEnd"/>
      <w:r w:rsidRPr="00BF5413">
        <w:rPr>
          <w:rFonts w:ascii="Poppins Light" w:hAnsi="Poppins Light" w:cs="Poppins Light"/>
          <w:color w:val="000000"/>
          <w:sz w:val="18"/>
          <w:szCs w:val="18"/>
        </w:rPr>
        <w:t xml:space="preserve"> </w:t>
      </w:r>
      <w:proofErr w:type="spellStart"/>
      <w:r w:rsidRPr="00BF5413">
        <w:rPr>
          <w:rFonts w:ascii="Poppins Light" w:hAnsi="Poppins Light" w:cs="Poppins Light"/>
          <w:color w:val="000000"/>
          <w:sz w:val="18"/>
          <w:szCs w:val="18"/>
        </w:rPr>
        <w:t>Detection</w:t>
      </w:r>
      <w:proofErr w:type="spellEnd"/>
      <w:r w:rsidRPr="00BF5413">
        <w:rPr>
          <w:rFonts w:ascii="Poppins Light" w:hAnsi="Poppins Light" w:cs="Poppins Light"/>
          <w:color w:val="000000"/>
          <w:sz w:val="18"/>
          <w:szCs w:val="18"/>
        </w:rPr>
        <w:t xml:space="preserve"> &amp; Response (MDR) als skalierbares Servicegeschäft, die steigenden Anforderungen durch NIS2, sowie die wachsende Bedeutung digitaler Souveränität.</w:t>
      </w:r>
    </w:p>
    <w:p w14:paraId="7D6C8D1A"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r w:rsidRPr="00BF5413">
        <w:rPr>
          <w:rFonts w:ascii="Poppins Light" w:hAnsi="Poppins Light" w:cs="Poppins Light"/>
          <w:color w:val="000000"/>
          <w:sz w:val="18"/>
          <w:szCs w:val="18"/>
        </w:rPr>
        <w:t>„</w:t>
      </w:r>
      <w:r w:rsidRPr="00BF5413">
        <w:rPr>
          <w:rFonts w:ascii="Poppins Light" w:hAnsi="Poppins Light" w:cs="Poppins Light"/>
          <w:i/>
          <w:iCs/>
          <w:color w:val="000000"/>
          <w:sz w:val="18"/>
          <w:szCs w:val="18"/>
        </w:rPr>
        <w:t>Die Nachfrage nach integrierten, vertrauenswürdigen Security-Lösungen wächst rasant. Und genau hier liegen enorme Chancen für unsere Partner“,</w:t>
      </w:r>
      <w:r w:rsidRPr="00BF5413">
        <w:rPr>
          <w:rFonts w:ascii="Poppins Light" w:hAnsi="Poppins Light" w:cs="Poppins Light"/>
          <w:color w:val="000000"/>
          <w:sz w:val="18"/>
          <w:szCs w:val="18"/>
        </w:rPr>
        <w:t xml:space="preserve"> sagt Max Tarantik. „</w:t>
      </w:r>
      <w:r w:rsidRPr="00BF5413">
        <w:rPr>
          <w:rFonts w:ascii="Poppins Light" w:hAnsi="Poppins Light" w:cs="Poppins Light"/>
          <w:i/>
          <w:iCs/>
          <w:color w:val="000000"/>
          <w:sz w:val="18"/>
          <w:szCs w:val="18"/>
        </w:rPr>
        <w:t>Gemeinsam schaffen wir ein Ökosystem, das Sicherheit wirtschaftlich nutzbar macht.</w:t>
      </w:r>
      <w:r w:rsidRPr="00BF5413">
        <w:rPr>
          <w:rFonts w:ascii="Poppins Light" w:hAnsi="Poppins Light" w:cs="Poppins Light"/>
          <w:color w:val="000000"/>
          <w:sz w:val="18"/>
          <w:szCs w:val="18"/>
        </w:rPr>
        <w:t xml:space="preserve">“ </w:t>
      </w:r>
      <w:proofErr w:type="spellStart"/>
      <w:r w:rsidRPr="00BF5413">
        <w:rPr>
          <w:rFonts w:ascii="Poppins Light" w:hAnsi="Poppins Light" w:cs="Poppins Light"/>
          <w:color w:val="000000"/>
          <w:sz w:val="18"/>
          <w:szCs w:val="18"/>
        </w:rPr>
        <w:t>Tarantik</w:t>
      </w:r>
      <w:proofErr w:type="spellEnd"/>
      <w:r w:rsidRPr="00BF5413">
        <w:rPr>
          <w:rFonts w:ascii="Poppins Light" w:hAnsi="Poppins Light" w:cs="Poppins Light"/>
          <w:color w:val="000000"/>
          <w:sz w:val="18"/>
          <w:szCs w:val="18"/>
        </w:rPr>
        <w:t xml:space="preserve"> ergänzt</w:t>
      </w:r>
      <w:r w:rsidRPr="00BF5413">
        <w:rPr>
          <w:rFonts w:ascii="Poppins Light" w:hAnsi="Poppins Light" w:cs="Poppins Light"/>
          <w:i/>
          <w:iCs/>
          <w:color w:val="000000"/>
          <w:sz w:val="18"/>
          <w:szCs w:val="18"/>
        </w:rPr>
        <w:t xml:space="preserve">:“ Der </w:t>
      </w:r>
      <w:proofErr w:type="spellStart"/>
      <w:r w:rsidRPr="00BF5413">
        <w:rPr>
          <w:rFonts w:ascii="Poppins Light" w:hAnsi="Poppins Light" w:cs="Poppins Light"/>
          <w:i/>
          <w:iCs/>
          <w:color w:val="000000"/>
          <w:sz w:val="18"/>
          <w:szCs w:val="18"/>
        </w:rPr>
        <w:t>Cybersecurity</w:t>
      </w:r>
      <w:proofErr w:type="spellEnd"/>
      <w:r w:rsidRPr="00BF5413">
        <w:rPr>
          <w:rFonts w:ascii="Poppins Light" w:hAnsi="Poppins Light" w:cs="Poppins Light"/>
          <w:i/>
          <w:iCs/>
          <w:color w:val="000000"/>
          <w:sz w:val="18"/>
          <w:szCs w:val="18"/>
        </w:rPr>
        <w:t>-Markt befindet sich derzeit an einem Wendepunkt. KI</w:t>
      </w:r>
      <w:r w:rsidRPr="00BF5413">
        <w:rPr>
          <w:rFonts w:ascii="Poppins Light" w:hAnsi="Poppins Light" w:cs="Poppins Light"/>
          <w:i/>
          <w:iCs/>
          <w:color w:val="000000"/>
          <w:sz w:val="18"/>
          <w:szCs w:val="18"/>
        </w:rPr>
        <w:noBreakHyphen/>
        <w:t xml:space="preserve">gestützte Angriffe, neue regulatorische Vorgaben und der Wandel hin zu servicebasierten Modellen verändern die Anforderungen grundlegend. </w:t>
      </w:r>
      <w:r w:rsidRPr="00BF5413">
        <w:rPr>
          <w:rFonts w:ascii="Poppins Light" w:hAnsi="Poppins Light" w:cs="Poppins Light"/>
          <w:i/>
          <w:iCs/>
          <w:color w:val="000000"/>
          <w:sz w:val="18"/>
          <w:szCs w:val="18"/>
        </w:rPr>
        <w:lastRenderedPageBreak/>
        <w:t>Unternehmen benötigen ganzheitliche, kontinuierlich betreute Sicherheitslösungen. Das eröffnet unseren Partnern neue Perspektiven: Von einmaligen Projekten hin zu langfristigen, wiederkehrenden Services.</w:t>
      </w:r>
      <w:r w:rsidRPr="00BF5413">
        <w:rPr>
          <w:rFonts w:ascii="Poppins Light" w:hAnsi="Poppins Light" w:cs="Poppins Light"/>
          <w:color w:val="000000"/>
          <w:sz w:val="18"/>
          <w:szCs w:val="18"/>
        </w:rPr>
        <w:t>“</w:t>
      </w:r>
    </w:p>
    <w:p w14:paraId="486E16C8" w14:textId="77777777" w:rsidR="00BF5413" w:rsidRPr="00BF5413" w:rsidRDefault="00BF5413" w:rsidP="00BF5413">
      <w:pPr>
        <w:spacing w:before="100" w:beforeAutospacing="1" w:after="100" w:afterAutospacing="1" w:line="300" w:lineRule="atLeast"/>
        <w:rPr>
          <w:rFonts w:ascii="Poppins Light" w:hAnsi="Poppins Light" w:cs="Poppins Light"/>
          <w:color w:val="000000"/>
          <w:sz w:val="18"/>
          <w:szCs w:val="18"/>
        </w:rPr>
      </w:pP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selbst setzt seinen Wachstumskurs konsequent fort. Mit einer in Deutschland entwickelten </w:t>
      </w:r>
      <w:proofErr w:type="spellStart"/>
      <w:r w:rsidRPr="00BF5413">
        <w:rPr>
          <w:rFonts w:ascii="Poppins Light" w:hAnsi="Poppins Light" w:cs="Poppins Light"/>
          <w:color w:val="000000"/>
          <w:sz w:val="18"/>
          <w:szCs w:val="18"/>
        </w:rPr>
        <w:t>Cybersecurity</w:t>
      </w:r>
      <w:proofErr w:type="spellEnd"/>
      <w:r w:rsidRPr="00BF5413">
        <w:rPr>
          <w:rFonts w:ascii="Poppins Light" w:hAnsi="Poppins Light" w:cs="Poppins Light"/>
          <w:color w:val="000000"/>
          <w:sz w:val="18"/>
          <w:szCs w:val="18"/>
        </w:rPr>
        <w:t xml:space="preserve">-Plattform erfüllt das Unternehmen höchste Anforderungen an Datenschutz und Compliance. Strategische Partnerschaften, unter anderem </w:t>
      </w:r>
      <w:proofErr w:type="gramStart"/>
      <w:r w:rsidRPr="00BF5413">
        <w:rPr>
          <w:rFonts w:ascii="Poppins Light" w:hAnsi="Poppins Light" w:cs="Poppins Light"/>
          <w:color w:val="000000"/>
          <w:sz w:val="18"/>
          <w:szCs w:val="18"/>
        </w:rPr>
        <w:t>im Cloud</w:t>
      </w:r>
      <w:proofErr w:type="gramEnd"/>
      <w:r w:rsidRPr="00BF5413">
        <w:rPr>
          <w:rFonts w:ascii="Poppins Light" w:hAnsi="Poppins Light" w:cs="Poppins Light"/>
          <w:color w:val="000000"/>
          <w:sz w:val="18"/>
          <w:szCs w:val="18"/>
        </w:rPr>
        <w:noBreakHyphen/>
        <w:t xml:space="preserve">Umfeld mit </w:t>
      </w:r>
      <w:r w:rsidRPr="00BF5413">
        <w:rPr>
          <w:rFonts w:ascii="Poppins Light" w:hAnsi="Poppins Light" w:cs="Poppins Light"/>
          <w:b/>
          <w:bCs/>
          <w:color w:val="000000"/>
          <w:sz w:val="18"/>
          <w:szCs w:val="18"/>
        </w:rPr>
        <w:t>IONOS</w:t>
      </w:r>
      <w:r w:rsidRPr="00BF5413">
        <w:rPr>
          <w:rFonts w:ascii="Poppins Light" w:hAnsi="Poppins Light" w:cs="Poppins Light"/>
          <w:color w:val="000000"/>
          <w:sz w:val="18"/>
          <w:szCs w:val="18"/>
        </w:rPr>
        <w:t>, schaffen zusätzliche Chancen für Partner, ihr Geschäft weiter auszubauen.</w:t>
      </w:r>
    </w:p>
    <w:p w14:paraId="091F1F0A" w14:textId="124F4FBC" w:rsidR="00FE4BF6" w:rsidRDefault="00BF5413" w:rsidP="00BF5413">
      <w:pPr>
        <w:spacing w:before="100" w:beforeAutospacing="1" w:after="100" w:afterAutospacing="1" w:line="300" w:lineRule="atLeast"/>
        <w:rPr>
          <w:rFonts w:ascii="Poppins Light" w:hAnsi="Poppins Light" w:cs="Poppins Light"/>
          <w:b/>
          <w:bCs/>
          <w:color w:val="000000"/>
          <w:sz w:val="18"/>
          <w:szCs w:val="18"/>
        </w:rPr>
      </w:pPr>
      <w:r w:rsidRPr="00BF5413">
        <w:rPr>
          <w:rFonts w:ascii="Poppins Light" w:hAnsi="Poppins Light" w:cs="Poppins Light"/>
          <w:color w:val="000000"/>
          <w:sz w:val="18"/>
          <w:szCs w:val="18"/>
        </w:rPr>
        <w:t xml:space="preserve">Der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Partnertag 2026 zeigt damit klar: Der Security</w:t>
      </w:r>
      <w:r w:rsidRPr="00BF5413">
        <w:rPr>
          <w:rFonts w:ascii="Poppins Light" w:hAnsi="Poppins Light" w:cs="Poppins Light"/>
          <w:color w:val="000000"/>
          <w:sz w:val="18"/>
          <w:szCs w:val="18"/>
        </w:rPr>
        <w:noBreakHyphen/>
        <w:t xml:space="preserve">Markt bietet enorme Chancen. </w:t>
      </w:r>
      <w:proofErr w:type="spellStart"/>
      <w:r w:rsidRPr="00BF5413">
        <w:rPr>
          <w:rFonts w:ascii="Poppins Light" w:hAnsi="Poppins Light" w:cs="Poppins Light"/>
          <w:color w:val="000000"/>
          <w:sz w:val="18"/>
          <w:szCs w:val="18"/>
        </w:rPr>
        <w:t>Enginsight</w:t>
      </w:r>
      <w:proofErr w:type="spellEnd"/>
      <w:r w:rsidRPr="00BF5413">
        <w:rPr>
          <w:rFonts w:ascii="Poppins Light" w:hAnsi="Poppins Light" w:cs="Poppins Light"/>
          <w:color w:val="000000"/>
          <w:sz w:val="18"/>
          <w:szCs w:val="18"/>
        </w:rPr>
        <w:t xml:space="preserve"> und seine Partner sind bestens positioniert, diese Entwicklung gemeinsam aktiv zu gestalten und nachhaltig zu nutzen.</w:t>
      </w:r>
    </w:p>
    <w:p w14:paraId="568DDC21" w14:textId="77777777" w:rsidR="00FE4BF6" w:rsidRPr="00FE4BF6" w:rsidRDefault="00FE4BF6" w:rsidP="00FE4BF6">
      <w:pPr>
        <w:spacing w:before="100" w:beforeAutospacing="1" w:after="100" w:afterAutospacing="1" w:line="300" w:lineRule="atLeast"/>
        <w:rPr>
          <w:rFonts w:ascii="Poppins Light" w:hAnsi="Poppins Light" w:cs="Poppins Light"/>
          <w:b/>
          <w:bCs/>
          <w:i/>
          <w:iCs/>
          <w:color w:val="000000"/>
          <w:sz w:val="18"/>
          <w:szCs w:val="18"/>
        </w:rPr>
      </w:pPr>
    </w:p>
    <w:p w14:paraId="4C23BA8D" w14:textId="13511B1E" w:rsidR="00D26455" w:rsidRDefault="00000000">
      <w:pPr>
        <w:keepNext/>
        <w:spacing w:before="120" w:after="160" w:line="280" w:lineRule="auto"/>
      </w:pPr>
      <w:r>
        <w:rPr>
          <w:rFonts w:ascii="Poppins Medium" w:hAnsi="Poppins Medium" w:cs="Poppins Medium"/>
          <w:caps/>
          <w:color w:val="E91E63"/>
        </w:rPr>
        <w:t>Über Enginsight</w:t>
      </w:r>
    </w:p>
    <w:p w14:paraId="173FBD76" w14:textId="69F9FF3B" w:rsidR="00383D06" w:rsidRPr="00383D06" w:rsidRDefault="00000000" w:rsidP="00FE4BF6">
      <w:pPr>
        <w:spacing w:after="320" w:line="280" w:lineRule="auto"/>
        <w:jc w:val="both"/>
        <w:rPr>
          <w:rFonts w:ascii="Poppins Light" w:hAnsi="Poppins Light" w:cs="Poppins Light"/>
          <w:color w:val="000000"/>
          <w:sz w:val="18"/>
          <w:szCs w:val="18"/>
        </w:rPr>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-Plattform vereint Schwachstellenmanagement, Asset Monitoring, Angriffserkennung, Compliance-Analysen und automatisierte Abwehrmaßnahmen in einer einzigen Lösung. Unter dem Leitmotiv „Unsichtbares sichtbar machen“ und „Unsicheres sicher machen“ kombiniert Enginsight Transparenz, Automatisierung und eine praxisnahe Sicherheitsarchitektur, um den Mittelstand effizient und nachhaltig zu schützen – Cybersecurity 100 % Made in Germany.</w:t>
      </w:r>
    </w:p>
    <w:p w14:paraId="41A47010" w14:textId="77777777" w:rsidR="00383D06" w:rsidRPr="00383D06" w:rsidRDefault="00383D06">
      <w:pPr>
        <w:spacing w:after="320" w:line="280" w:lineRule="auto"/>
        <w:jc w:val="both"/>
        <w:rPr>
          <w:rFonts w:ascii="Poppins Light" w:hAnsi="Poppins Light" w:cs="Poppins Light"/>
          <w:color w:val="000000"/>
          <w:sz w:val="18"/>
          <w:szCs w:val="18"/>
        </w:rPr>
      </w:pPr>
    </w:p>
    <w:p w14:paraId="549B7402" w14:textId="5DB131D2" w:rsidR="00D26455" w:rsidRDefault="00000000">
      <w:pPr>
        <w:keepNext/>
        <w:spacing w:before="120" w:after="120" w:line="280" w:lineRule="auto"/>
      </w:pPr>
      <w:r>
        <w:rPr>
          <w:rFonts w:ascii="Poppins Medium" w:hAnsi="Poppins Medium" w:cs="Poppins Medium"/>
          <w:caps/>
          <w:color w:val="E91E63"/>
        </w:rPr>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10"/>
      <w:footerReference w:type="default" r:id="rId11"/>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B16B" w14:textId="77777777" w:rsidR="009A2CB1" w:rsidRDefault="009A2CB1" w:rsidP="006F1D54">
      <w:pPr>
        <w:spacing w:line="240" w:lineRule="auto"/>
      </w:pPr>
      <w:r>
        <w:separator/>
      </w:r>
    </w:p>
  </w:endnote>
  <w:endnote w:type="continuationSeparator" w:id="0">
    <w:p w14:paraId="4F745A61" w14:textId="77777777" w:rsidR="009A2CB1" w:rsidRDefault="009A2CB1"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6DB3" w14:textId="77777777" w:rsidR="009A2CB1" w:rsidRDefault="009A2CB1" w:rsidP="006F1D54">
      <w:pPr>
        <w:spacing w:line="240" w:lineRule="auto"/>
      </w:pPr>
      <w:r>
        <w:separator/>
      </w:r>
    </w:p>
  </w:footnote>
  <w:footnote w:type="continuationSeparator" w:id="0">
    <w:p w14:paraId="2042B653" w14:textId="77777777" w:rsidR="009A2CB1" w:rsidRDefault="009A2CB1"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E0A"/>
    <w:multiLevelType w:val="multilevel"/>
    <w:tmpl w:val="417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15D9"/>
    <w:multiLevelType w:val="multilevel"/>
    <w:tmpl w:val="A18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45">
    <w:abstractNumId w:val="0"/>
  </w:num>
  <w:num w:numId="2" w16cid:durableId="20494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C56DD"/>
    <w:rsid w:val="002F1181"/>
    <w:rsid w:val="00311639"/>
    <w:rsid w:val="00367C97"/>
    <w:rsid w:val="00373F42"/>
    <w:rsid w:val="00383D06"/>
    <w:rsid w:val="0039466C"/>
    <w:rsid w:val="003D260E"/>
    <w:rsid w:val="003F3792"/>
    <w:rsid w:val="00411B0F"/>
    <w:rsid w:val="00413590"/>
    <w:rsid w:val="00446EDA"/>
    <w:rsid w:val="0045193F"/>
    <w:rsid w:val="00476A0B"/>
    <w:rsid w:val="004A7617"/>
    <w:rsid w:val="004F1FCE"/>
    <w:rsid w:val="005F14B3"/>
    <w:rsid w:val="0061547A"/>
    <w:rsid w:val="00625C7C"/>
    <w:rsid w:val="00640CC5"/>
    <w:rsid w:val="006519AA"/>
    <w:rsid w:val="00657F81"/>
    <w:rsid w:val="00694F6D"/>
    <w:rsid w:val="006C38D0"/>
    <w:rsid w:val="006D5582"/>
    <w:rsid w:val="006F1D54"/>
    <w:rsid w:val="00763A4C"/>
    <w:rsid w:val="00791B8B"/>
    <w:rsid w:val="008045FA"/>
    <w:rsid w:val="008050CF"/>
    <w:rsid w:val="00822DF8"/>
    <w:rsid w:val="00824C1F"/>
    <w:rsid w:val="00835E23"/>
    <w:rsid w:val="00883FA1"/>
    <w:rsid w:val="008B260B"/>
    <w:rsid w:val="008E3AAC"/>
    <w:rsid w:val="00912ADA"/>
    <w:rsid w:val="00954506"/>
    <w:rsid w:val="009700CE"/>
    <w:rsid w:val="009A2CB1"/>
    <w:rsid w:val="009F3ABE"/>
    <w:rsid w:val="00A07A0E"/>
    <w:rsid w:val="00A214CC"/>
    <w:rsid w:val="00A35ACE"/>
    <w:rsid w:val="00A563D4"/>
    <w:rsid w:val="00A62992"/>
    <w:rsid w:val="00A71789"/>
    <w:rsid w:val="00A80709"/>
    <w:rsid w:val="00A9345D"/>
    <w:rsid w:val="00AC4E8E"/>
    <w:rsid w:val="00B12D2F"/>
    <w:rsid w:val="00BB439E"/>
    <w:rsid w:val="00BF5413"/>
    <w:rsid w:val="00C277D6"/>
    <w:rsid w:val="00C565AF"/>
    <w:rsid w:val="00CC3B34"/>
    <w:rsid w:val="00CD6098"/>
    <w:rsid w:val="00CF1468"/>
    <w:rsid w:val="00D13798"/>
    <w:rsid w:val="00D26455"/>
    <w:rsid w:val="00D8315B"/>
    <w:rsid w:val="00D84339"/>
    <w:rsid w:val="00DD1C4A"/>
    <w:rsid w:val="00E612D1"/>
    <w:rsid w:val="00EA2D68"/>
    <w:rsid w:val="00F021DE"/>
    <w:rsid w:val="00F07DB6"/>
    <w:rsid w:val="00F27987"/>
    <w:rsid w:val="00F47CB3"/>
    <w:rsid w:val="00F701CB"/>
    <w:rsid w:val="00F933BF"/>
    <w:rsid w:val="00FB4800"/>
    <w:rsid w:val="00FB6510"/>
    <w:rsid w:val="00FE4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 w:type="paragraph" w:styleId="Listenabsatz">
    <w:name w:val="List Paragraph"/>
    <w:basedOn w:val="Standard"/>
    <w:uiPriority w:val="34"/>
    <w:qFormat/>
    <w:rsid w:val="00367C97"/>
    <w:pPr>
      <w:ind w:left="720"/>
      <w:contextualSpacing/>
    </w:pPr>
  </w:style>
  <w:style w:type="character" w:styleId="NichtaufgelsteErwhnung">
    <w:name w:val="Unresolved Mention"/>
    <w:basedOn w:val="Absatz-Standardschriftart"/>
    <w:uiPriority w:val="99"/>
    <w:semiHidden/>
    <w:unhideWhenUsed/>
    <w:rsid w:val="006D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customXml/itemProps2.xml><?xml version="1.0" encoding="utf-8"?>
<ds:datastoreItem xmlns:ds="http://schemas.openxmlformats.org/officeDocument/2006/customXml" ds:itemID="{0C2AAC69-1EAF-4F46-9971-8499E39732D3}">
  <ds:schemaRefs>
    <ds:schemaRef ds:uri="http://schemas.microsoft.com/sharepoint/v3/contenttype/forms"/>
  </ds:schemaRefs>
</ds:datastoreItem>
</file>

<file path=customXml/itemProps3.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Sabine Kuch (Extern)</cp:lastModifiedBy>
  <cp:revision>2</cp:revision>
  <cp:lastPrinted>2026-04-30T10:41:00Z</cp:lastPrinted>
  <dcterms:created xsi:type="dcterms:W3CDTF">2026-06-14T08:38:00Z</dcterms:created>
  <dcterms:modified xsi:type="dcterms:W3CDTF">2026-06-14T08:38:00Z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