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2334F6" w14:textId="77777777" w:rsidR="00D26455" w:rsidRDefault="00000000">
      <w:pPr>
        <w:spacing w:after="200" w:line="280" w:lineRule="auto"/>
      </w:pPr>
      <w:r>
        <w:rPr>
          <w:rFonts w:ascii="Poppins Medium" w:hAnsi="Poppins Medium" w:cs="Poppins Medium"/>
          <w:color w:val="E91E63"/>
          <w:sz w:val="18"/>
          <w:szCs w:val="18"/>
        </w:rPr>
        <w:t>PRESSEMITTEILUNG</w:t>
      </w:r>
    </w:p>
    <w:p w14:paraId="5859C7C4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0"/>
        <w:rPr>
          <w:rFonts w:ascii="Poppins Light" w:hAnsi="Poppins Light" w:cs="Poppins Light"/>
          <w:color w:val="000000"/>
          <w:sz w:val="18"/>
          <w:szCs w:val="18"/>
        </w:rPr>
      </w:pPr>
      <w:proofErr w:type="spellStart"/>
      <w:r w:rsidRPr="00737D0A">
        <w:rPr>
          <w:rFonts w:ascii="Poppins" w:hAnsi="Poppins" w:cs="Poppins"/>
          <w:sz w:val="36"/>
          <w:szCs w:val="36"/>
        </w:rPr>
        <w:t>Enginsight</w:t>
      </w:r>
      <w:proofErr w:type="spellEnd"/>
      <w:r w:rsidRPr="00737D0A">
        <w:rPr>
          <w:rFonts w:ascii="Poppins" w:hAnsi="Poppins" w:cs="Poppins"/>
          <w:sz w:val="36"/>
          <w:szCs w:val="36"/>
        </w:rPr>
        <w:t xml:space="preserve"> startet KRITIS-Offensive: Umfassende Webinar-Kampagne für den Channel</w:t>
      </w:r>
    </w:p>
    <w:p w14:paraId="0751A158" w14:textId="783ACDBB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Jena, </w:t>
      </w:r>
      <w:r w:rsidR="00433AAF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17. </w:t>
      </w: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September 2026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– Cyberangriffe auf Verwaltungen, Krankenhäuser und kommunale Versorger nehmen weiter zu. Gleichzeitig stehen viele Organisationen der Kritischen Infrastruktur vor denselben Herausforderungen: gewachsene IT-Landschaften, begrenzte personelle Ressourcen und steigende regulatorische Anforderungen. Mit einer neuen Webcast-Kampagne unterstützt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seine Channel-Partner dabei, gezielt Entscheider in Verwaltungen, Kliniken und Stadtwerken anzusprechen und neue Geschäftspotenziale im KRITIS-Umfeld zu erschließen.</w:t>
      </w:r>
    </w:p>
    <w:p w14:paraId="61A7591A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Unter dem Titel </w:t>
      </w: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„Wenn der Ernstfall eintritt“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startet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eine vierteilige Webinar-Reihe, die konkrete Szenarien aus der Praxis aufgreift. Im Mittelpunkt stehen nicht theoretische Sicherheitskonzepte, sondern die Frage, wie Organisationen im Ernstfall handlungsfähig bleiben, Angriffe frühzeitig erkennen und ihre Reaktionszeiten verkürzen können.</w:t>
      </w:r>
    </w:p>
    <w:p w14:paraId="6C1213C2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i/>
          <w:iCs/>
          <w:color w:val="000000"/>
          <w:sz w:val="18"/>
          <w:szCs w:val="18"/>
        </w:rPr>
        <w:t>„Verwaltungen, Kliniken und Stadtwerke gehören heute zu den am stärksten gefährdeten Organisationen. Gleichzeitig verfügen viele Einrichtungen nicht über die personellen Ressourcen, um komplexe Security-Landschaften rund um die Uhr zu überwachen. Genau hier bieten unsere Partner einen echten Mehrwert“,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erklärt </w:t>
      </w: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Max Tarantik, COO von </w:t>
      </w:r>
      <w:proofErr w:type="spellStart"/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Enginsight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>.</w:t>
      </w:r>
    </w:p>
    <w:p w14:paraId="0C8CE71A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Für </w:t>
      </w: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Systemhäuser, IT-Dienstleister und </w:t>
      </w:r>
      <w:proofErr w:type="spellStart"/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Managed</w:t>
      </w:r>
      <w:proofErr w:type="spellEnd"/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 xml:space="preserve"> Security Service Provider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eröffnet sich damit ein attraktiver Wachstumsmarkt. Die zunehmenden Anforderungen durch NIS2, steigende Compliance-Vorgaben und die wachsende Bedrohungslage sorgen für einen kontinuierlich steigenden Bedarf an Security-Services und Beratung.</w:t>
      </w:r>
    </w:p>
    <w:p w14:paraId="148A7A09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unterstützt seine Partner dabei mit einer in Deutschland entwickelten Plattform, die IT-Monitoring, Schwachstellenmanagement, Angriffserkennung und automatisierte Sicherheitsanalysen in einer zentralen Lösung vereint. Partner profitieren zudem von einer mandantenfähigen Plattform, automatisierten Reports und einem zentralen Überblick über die Sicherheitslage ihrer Kunden. </w:t>
      </w:r>
    </w:p>
    <w:p w14:paraId="1F78577B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i/>
          <w:iCs/>
          <w:color w:val="000000"/>
          <w:sz w:val="18"/>
          <w:szCs w:val="18"/>
        </w:rPr>
        <w:t xml:space="preserve">„Wir wollten eine Kampagne schaffen, die unseren Partnern sofort nutzbaren Mehrwert liefert. Deshalb stellen wir nicht nur die Webcasts bereit, sondern ein vollständiges Vermarktungspaket mit individuellen Registrierungslinks, Mailings, </w:t>
      </w:r>
      <w:proofErr w:type="spellStart"/>
      <w:r w:rsidRPr="00737D0A">
        <w:rPr>
          <w:rFonts w:ascii="Poppins Light" w:hAnsi="Poppins Light" w:cs="Poppins Light"/>
          <w:i/>
          <w:iCs/>
          <w:color w:val="000000"/>
          <w:sz w:val="18"/>
          <w:szCs w:val="18"/>
        </w:rPr>
        <w:t>Social</w:t>
      </w:r>
      <w:proofErr w:type="spellEnd"/>
      <w:r w:rsidRPr="00737D0A">
        <w:rPr>
          <w:rFonts w:ascii="Poppins Light" w:hAnsi="Poppins Light" w:cs="Poppins Light"/>
          <w:i/>
          <w:iCs/>
          <w:color w:val="000000"/>
          <w:sz w:val="18"/>
          <w:szCs w:val="18"/>
        </w:rPr>
        <w:t>-Media-Vorlagen und Teilnehmer-Reporting. So entstehen aus den Webinaren konkrete Gespräche und neue Projekte“,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so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Tarantik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>.</w:t>
      </w:r>
    </w:p>
    <w:p w14:paraId="66C0C39A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</w:p>
    <w:p w14:paraId="0C1CD473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1"/>
        <w:rPr>
          <w:rFonts w:ascii="Poppins Light" w:hAnsi="Poppins Light" w:cs="Poppins Light"/>
          <w:color w:val="000000"/>
          <w:sz w:val="18"/>
          <w:szCs w:val="18"/>
        </w:rPr>
      </w:pPr>
    </w:p>
    <w:p w14:paraId="5C26E6D6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0"/>
        <w:rPr>
          <w:rFonts w:ascii="Poppins Light" w:hAnsi="Poppins Light" w:cs="Poppins Light"/>
          <w:caps/>
          <w:color w:val="000000"/>
          <w:sz w:val="30"/>
          <w:szCs w:val="30"/>
        </w:rPr>
      </w:pPr>
      <w:r w:rsidRPr="00737D0A">
        <w:rPr>
          <w:rFonts w:ascii="Poppins Light" w:hAnsi="Poppins Light" w:cs="Poppins Light"/>
          <w:caps/>
          <w:color w:val="000000"/>
          <w:sz w:val="30"/>
          <w:szCs w:val="30"/>
        </w:rPr>
        <w:lastRenderedPageBreak/>
        <w:t>Vier Webcasts für vier KRITIS-Szenarien</w:t>
      </w:r>
    </w:p>
    <w:p w14:paraId="5B7295E7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2"/>
        <w:rPr>
          <w:rFonts w:ascii="Poppins Light" w:hAnsi="Poppins Light" w:cs="Poppins Light"/>
          <w:b/>
          <w:bCs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Was tun, wenn das Rathaus stillsteht?</w:t>
      </w:r>
    </w:p>
    <w:p w14:paraId="55EDA9EA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29. September | 10:00 Uhr</w:t>
      </w:r>
    </w:p>
    <w:p w14:paraId="199C5E89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Für Verwaltungsleitungen, Kommunen und Landkreise.</w:t>
      </w:r>
    </w:p>
    <w:p w14:paraId="1EE37029" w14:textId="755B683B" w:rsid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Jetzt anmelden: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br/>
      </w:r>
      <w:hyperlink r:id="rId10" w:history="1">
        <w:r w:rsidRPr="006A63E2">
          <w:rPr>
            <w:rStyle w:val="Hyperlink"/>
            <w:rFonts w:ascii="Poppins Light" w:hAnsi="Poppins Light" w:cs="Poppins Light"/>
            <w:sz w:val="18"/>
            <w:szCs w:val="18"/>
          </w:rPr>
          <w:t>https://sec.enginsight.com/</w:t>
        </w:r>
      </w:hyperlink>
    </w:p>
    <w:p w14:paraId="165285D3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2"/>
        <w:rPr>
          <w:rFonts w:ascii="Poppins Light" w:hAnsi="Poppins Light" w:cs="Poppins Light"/>
          <w:b/>
          <w:bCs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Der Angriff läuft – würden Sie ihn sehen?</w:t>
      </w:r>
    </w:p>
    <w:p w14:paraId="76E4BA94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1. Oktober | 10:00 Uhr</w:t>
      </w:r>
    </w:p>
    <w:p w14:paraId="3FD6B22E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Live-Demo von der Angriffsfläche bis zur Reaktion.</w:t>
      </w:r>
    </w:p>
    <w:p w14:paraId="2A7E76A3" w14:textId="74A3B1C7" w:rsid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Jetzt anmelden: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br/>
      </w:r>
      <w:hyperlink r:id="rId11" w:history="1">
        <w:r w:rsidRPr="006A63E2">
          <w:rPr>
            <w:rStyle w:val="Hyperlink"/>
            <w:rFonts w:ascii="Poppins Light" w:hAnsi="Poppins Light" w:cs="Poppins Light"/>
            <w:sz w:val="18"/>
            <w:szCs w:val="18"/>
          </w:rPr>
          <w:t>https://sec.enginsight.com/</w:t>
        </w:r>
      </w:hyperlink>
    </w:p>
    <w:p w14:paraId="509A2295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2"/>
        <w:rPr>
          <w:rFonts w:ascii="Poppins Light" w:hAnsi="Poppins Light" w:cs="Poppins Light"/>
          <w:b/>
          <w:bCs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Was tun, wenn die Patientenakte fehlt?</w:t>
      </w:r>
    </w:p>
    <w:p w14:paraId="442D8007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6. Oktober | 10:00 Uhr</w:t>
      </w:r>
    </w:p>
    <w:p w14:paraId="2095547A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Für Krankenhäuser, Kliniken und MVZ.</w:t>
      </w:r>
    </w:p>
    <w:p w14:paraId="1BD68E2F" w14:textId="4F5380BA" w:rsid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Jetzt anmelden: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br/>
      </w:r>
      <w:hyperlink r:id="rId12" w:history="1">
        <w:r w:rsidRPr="006A63E2">
          <w:rPr>
            <w:rStyle w:val="Hyperlink"/>
            <w:rFonts w:ascii="Poppins Light" w:hAnsi="Poppins Light" w:cs="Poppins Light"/>
            <w:sz w:val="18"/>
            <w:szCs w:val="18"/>
          </w:rPr>
          <w:t>https://sec.enginsight.com/</w:t>
        </w:r>
      </w:hyperlink>
    </w:p>
    <w:p w14:paraId="11196DF4" w14:textId="77777777" w:rsidR="00737D0A" w:rsidRPr="00737D0A" w:rsidRDefault="00737D0A" w:rsidP="00737D0A">
      <w:pPr>
        <w:spacing w:before="100" w:beforeAutospacing="1" w:after="100" w:afterAutospacing="1" w:line="300" w:lineRule="atLeast"/>
        <w:outlineLvl w:val="2"/>
        <w:rPr>
          <w:rFonts w:ascii="Poppins Light" w:hAnsi="Poppins Light" w:cs="Poppins Light"/>
          <w:b/>
          <w:bCs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b/>
          <w:bCs/>
          <w:color w:val="000000"/>
          <w:sz w:val="18"/>
          <w:szCs w:val="18"/>
        </w:rPr>
        <w:t>Was tun, wenn das Stadtwerk lahmliegt?</w:t>
      </w:r>
    </w:p>
    <w:p w14:paraId="179BEB0E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8. Oktober | 10:00 Uhr</w:t>
      </w:r>
    </w:p>
    <w:p w14:paraId="53954184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Versorgungssicherheit, Haftung und NIS2 im Fokus.</w:t>
      </w:r>
    </w:p>
    <w:p w14:paraId="1C5825CE" w14:textId="7CAF1E95" w:rsid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>Jetzt anmelden:</w:t>
      </w:r>
      <w:r w:rsidRPr="00737D0A">
        <w:rPr>
          <w:rFonts w:ascii="Poppins Light" w:hAnsi="Poppins Light" w:cs="Poppins Light"/>
          <w:color w:val="000000"/>
          <w:sz w:val="18"/>
          <w:szCs w:val="18"/>
        </w:rPr>
        <w:br/>
      </w:r>
      <w:hyperlink r:id="rId13" w:history="1">
        <w:r w:rsidRPr="00737D0A">
          <w:rPr>
            <w:rFonts w:ascii="Poppins Light" w:hAnsi="Poppins Light" w:cs="Poppins Light"/>
            <w:color w:val="000000"/>
            <w:sz w:val="18"/>
            <w:szCs w:val="18"/>
          </w:rPr>
          <w:t>https://sec.enginsight.com/</w:t>
        </w:r>
      </w:hyperlink>
    </w:p>
    <w:p w14:paraId="0E1ECF6E" w14:textId="77777777" w:rsid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</w:p>
    <w:p w14:paraId="4C6EE515" w14:textId="77777777" w:rsid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</w:p>
    <w:p w14:paraId="702760D2" w14:textId="77777777" w:rsidR="00737D0A" w:rsidRPr="00737D0A" w:rsidRDefault="00737D0A" w:rsidP="00737D0A">
      <w:pPr>
        <w:spacing w:before="100" w:beforeAutospacing="1" w:after="100" w:afterAutospacing="1" w:line="300" w:lineRule="atLeast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lastRenderedPageBreak/>
        <w:t xml:space="preserve">Channel-Partner erhalten für jeden Webcast individuelle Referenzlinks, über die Anmeldungen eindeutig zugeordnet werden können. Ergänzt wird die Kampagne durch fertige E-Mail-Vorlagen,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Social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>-Media-Inhalte sowie die Möglichkeit, Teilnehmerdaten für die Nachbereitung von Vertriebs- und Beratungsgesprächen zu nutzen.</w:t>
      </w:r>
    </w:p>
    <w:p w14:paraId="128C73A5" w14:textId="6992A233" w:rsidR="00737D0A" w:rsidRDefault="00737D0A" w:rsidP="00737D0A">
      <w:pPr>
        <w:spacing w:before="100" w:beforeAutospacing="1" w:after="100" w:afterAutospacing="1" w:line="300" w:lineRule="atLeast"/>
        <w:rPr>
          <w:rFonts w:ascii="Poppins Medium" w:hAnsi="Poppins Medium" w:cs="Poppins Medium"/>
          <w:caps/>
          <w:color w:val="E91E63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Weitere Informationen zum Partnerprogramm von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finden sich unter: </w:t>
      </w:r>
      <w:hyperlink r:id="rId14" w:history="1">
        <w:r w:rsidRPr="00737D0A">
          <w:rPr>
            <w:rFonts w:ascii="Poppins Light" w:hAnsi="Poppins Light" w:cs="Poppins Light"/>
            <w:color w:val="000000"/>
            <w:sz w:val="18"/>
            <w:szCs w:val="18"/>
          </w:rPr>
          <w:t>https://enginsight.com/de/partner/</w:t>
        </w:r>
      </w:hyperlink>
    </w:p>
    <w:p w14:paraId="4C23BA8D" w14:textId="13511B1E" w:rsidR="00D26455" w:rsidRDefault="00000000">
      <w:pPr>
        <w:keepNext/>
        <w:spacing w:before="120" w:after="160" w:line="280" w:lineRule="auto"/>
      </w:pPr>
      <w:r>
        <w:rPr>
          <w:rFonts w:ascii="Poppins Medium" w:hAnsi="Poppins Medium" w:cs="Poppins Medium"/>
          <w:caps/>
          <w:color w:val="E91E63"/>
        </w:rPr>
        <w:t>Über Enginsight</w:t>
      </w:r>
    </w:p>
    <w:p w14:paraId="2F955FA2" w14:textId="6E94DC18" w:rsidR="00737D0A" w:rsidRPr="00737D0A" w:rsidRDefault="00737D0A" w:rsidP="00737D0A">
      <w:pPr>
        <w:pStyle w:val="wp-block-paragraph"/>
        <w:rPr>
          <w:rFonts w:ascii="Poppins Light" w:hAnsi="Poppins Light" w:cs="Poppins Light"/>
          <w:color w:val="000000"/>
          <w:sz w:val="18"/>
          <w:szCs w:val="18"/>
        </w:rPr>
      </w:pP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bietet eine umfassende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Cybersecurity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-Lösung für Unternehmen mit gewachsener IT-Landschaft. 2017 in Jena gegründet, ist die vollständig inhouse entwickelte Software heute bei mehreren hundert Endkunden im Einsatz, vom regional tätigen Mittelständler bis zur Unternehmensgruppe mit eigener IT-Sicherheitsorganisation. Die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-Plattform vereint Schwachstellenmanagement, Asset Monitoring, Angriffserkennung, Compliance-Analysen und automatisierte Abwehrmaßnahmen in einer einzigen Lösung. Unter dem Leitmotiv „Unsichtbares sichtbar machen“ und „Unsicheres sicher machen“ kombiniert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Enginsight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Transparenz, Automatisierung und eine praxisnahe Sicherheitsarchitektur, um Sicherheit </w:t>
      </w:r>
      <w:proofErr w:type="gramStart"/>
      <w:r w:rsidRPr="00737D0A">
        <w:rPr>
          <w:rFonts w:ascii="Poppins Light" w:hAnsi="Poppins Light" w:cs="Poppins Light"/>
          <w:color w:val="000000"/>
          <w:sz w:val="18"/>
          <w:szCs w:val="18"/>
        </w:rPr>
        <w:t>über wachsende</w:t>
      </w:r>
      <w:proofErr w:type="gram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Strukturen hinweg effizient und nachhaltig zu betreiben. </w:t>
      </w:r>
      <w:proofErr w:type="spellStart"/>
      <w:r w:rsidRPr="00737D0A">
        <w:rPr>
          <w:rFonts w:ascii="Poppins Light" w:hAnsi="Poppins Light" w:cs="Poppins Light"/>
          <w:color w:val="000000"/>
          <w:sz w:val="18"/>
          <w:szCs w:val="18"/>
        </w:rPr>
        <w:t>Cybersecurity</w:t>
      </w:r>
      <w:proofErr w:type="spellEnd"/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 100 % Made in Germany.</w:t>
      </w:r>
    </w:p>
    <w:p w14:paraId="10828A4B" w14:textId="77777777" w:rsidR="00737D0A" w:rsidRPr="00737D0A" w:rsidRDefault="00737D0A" w:rsidP="00737D0A">
      <w:pPr>
        <w:pStyle w:val="wp-block-paragraph"/>
        <w:rPr>
          <w:rFonts w:ascii="Poppins Light" w:hAnsi="Poppins Light" w:cs="Poppins Light"/>
          <w:color w:val="000000"/>
          <w:sz w:val="18"/>
          <w:szCs w:val="18"/>
        </w:rPr>
      </w:pPr>
      <w:r w:rsidRPr="00737D0A">
        <w:rPr>
          <w:rFonts w:ascii="Poppins Light" w:hAnsi="Poppins Light" w:cs="Poppins Light"/>
          <w:color w:val="000000"/>
          <w:sz w:val="18"/>
          <w:szCs w:val="18"/>
        </w:rPr>
        <w:t xml:space="preserve">Mehr Informationen unter: </w:t>
      </w:r>
      <w:hyperlink r:id="rId15" w:history="1">
        <w:r w:rsidRPr="00737D0A">
          <w:rPr>
            <w:rFonts w:ascii="Poppins Light" w:hAnsi="Poppins Light" w:cs="Poppins Light"/>
            <w:color w:val="000000"/>
            <w:sz w:val="18"/>
            <w:szCs w:val="18"/>
          </w:rPr>
          <w:t>www.enginsight.com</w:t>
        </w:r>
      </w:hyperlink>
      <w:r w:rsidRPr="00737D0A">
        <w:rPr>
          <w:rFonts w:ascii="Poppins Light" w:hAnsi="Poppins Light" w:cs="Poppins Light"/>
          <w:color w:val="000000"/>
          <w:sz w:val="18"/>
          <w:szCs w:val="18"/>
        </w:rPr>
        <w:t>.</w:t>
      </w:r>
    </w:p>
    <w:p w14:paraId="549B7402" w14:textId="5DB131D2" w:rsidR="00D26455" w:rsidRDefault="00000000">
      <w:pPr>
        <w:keepNext/>
        <w:spacing w:before="120" w:after="120" w:line="280" w:lineRule="auto"/>
      </w:pPr>
      <w:r>
        <w:rPr>
          <w:rFonts w:ascii="Poppins Medium" w:hAnsi="Poppins Medium" w:cs="Poppins Medium"/>
          <w:caps/>
          <w:color w:val="E91E63"/>
        </w:rPr>
        <w:t>Pressekontakt</w:t>
      </w:r>
    </w:p>
    <w:p w14:paraId="6ABE5AAC" w14:textId="77777777" w:rsidR="00D26455" w:rsidRDefault="00000000">
      <w:pPr>
        <w:spacing w:after="60" w:line="280" w:lineRule="auto"/>
      </w:pPr>
      <w:r>
        <w:rPr>
          <w:rFonts w:ascii="Poppins Light" w:hAnsi="Poppins Light" w:cs="Poppins Light"/>
          <w:b/>
          <w:bCs/>
          <w:color w:val="000000"/>
          <w:sz w:val="18"/>
          <w:szCs w:val="18"/>
        </w:rPr>
        <w:t>Sabine Kuch</w:t>
      </w:r>
    </w:p>
    <w:p w14:paraId="23A9728B" w14:textId="77777777" w:rsidR="00D26455" w:rsidRDefault="00000000">
      <w:pPr>
        <w:spacing w:after="60" w:line="280" w:lineRule="auto"/>
      </w:pPr>
      <w:r>
        <w:rPr>
          <w:rFonts w:ascii="Poppins Light" w:hAnsi="Poppins Light" w:cs="Poppins Light"/>
          <w:color w:val="000000"/>
          <w:sz w:val="18"/>
          <w:szCs w:val="18"/>
        </w:rPr>
        <w:t>Enginsight GmbH</w:t>
      </w:r>
    </w:p>
    <w:p w14:paraId="369C1437" w14:textId="77777777" w:rsidR="00D26455" w:rsidRDefault="00000000">
      <w:pPr>
        <w:spacing w:after="60" w:line="280" w:lineRule="auto"/>
      </w:pPr>
      <w:r>
        <w:rPr>
          <w:rFonts w:ascii="Poppins Light" w:hAnsi="Poppins Light" w:cs="Poppins Light"/>
          <w:color w:val="000000"/>
          <w:sz w:val="18"/>
          <w:szCs w:val="18"/>
        </w:rPr>
        <w:t>sabine.kuch[at]enginsight.com</w:t>
      </w:r>
    </w:p>
    <w:p w14:paraId="1CC05408" w14:textId="77777777" w:rsidR="00D26455" w:rsidRDefault="00000000">
      <w:pPr>
        <w:spacing w:after="320" w:line="280" w:lineRule="auto"/>
      </w:pPr>
      <w:r>
        <w:rPr>
          <w:rFonts w:ascii="Poppins Light" w:hAnsi="Poppins Light" w:cs="Poppins Light"/>
          <w:color w:val="54595F"/>
          <w:sz w:val="18"/>
          <w:szCs w:val="18"/>
        </w:rPr>
        <w:t>enginsight.com</w:t>
      </w:r>
    </w:p>
    <w:p w14:paraId="1964666A" w14:textId="77777777" w:rsidR="00D26455" w:rsidRDefault="00000000">
      <w:pPr>
        <w:pBdr>
          <w:top w:val="single" w:sz="4" w:space="4" w:color="CCCCCC"/>
        </w:pBdr>
        <w:spacing w:before="200" w:line="240" w:lineRule="auto"/>
      </w:pPr>
      <w:r>
        <w:rPr>
          <w:rFonts w:ascii="Poppins Light" w:hAnsi="Poppins Light" w:cs="Poppins Light"/>
          <w:i/>
          <w:iCs/>
          <w:color w:val="54595F"/>
          <w:sz w:val="14"/>
          <w:szCs w:val="14"/>
        </w:rPr>
        <w:t>*Wir verzichten zugunsten der Lesbarkeit auf die gendergerechte Schreibweise; weisen aber an dieser Stelle ausdrücklich darauf hin, dass „Kunde“, „Partner“ etc. alle Geschlechtsidentitäten einbezieht.</w:t>
      </w:r>
    </w:p>
    <w:sectPr w:rsidR="00D26455" w:rsidSect="0007767B">
      <w:headerReference w:type="default" r:id="rId16"/>
      <w:footerReference w:type="default" r:id="rId17"/>
      <w:pgSz w:w="11906" w:h="16838"/>
      <w:pgMar w:top="64" w:right="1418" w:bottom="1134" w:left="1418" w:header="2608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1E3A21" w14:textId="77777777" w:rsidR="003A72F4" w:rsidRDefault="003A72F4" w:rsidP="006F1D54">
      <w:pPr>
        <w:spacing w:line="240" w:lineRule="auto"/>
      </w:pPr>
      <w:r>
        <w:separator/>
      </w:r>
    </w:p>
  </w:endnote>
  <w:endnote w:type="continuationSeparator" w:id="0">
    <w:p w14:paraId="371F2204" w14:textId="77777777" w:rsidR="003A72F4" w:rsidRDefault="003A72F4" w:rsidP="006F1D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  <w:font w:name="Poppins Light">
    <w:panose1 w:val="00000400000000000000"/>
    <w:charset w:val="4D"/>
    <w:family w:val="auto"/>
    <w:pitch w:val="variable"/>
    <w:sig w:usb0="00008007" w:usb1="00000000" w:usb2="00000000" w:usb3="00000000" w:csb0="00000093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Poppins Light" w:hAnsi="Poppins Light" w:cs="Poppins Light"/>
        <w:sz w:val="14"/>
        <w:szCs w:val="14"/>
      </w:rPr>
      <w:id w:val="887840559"/>
      <w:docPartObj>
        <w:docPartGallery w:val="Page Numbers (Bottom of Page)"/>
        <w:docPartUnique/>
      </w:docPartObj>
    </w:sdtPr>
    <w:sdtContent>
      <w:sdt>
        <w:sdtPr>
          <w:rPr>
            <w:rFonts w:ascii="Poppins Light" w:hAnsi="Poppins Light" w:cs="Poppins Light"/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8B5508C" w14:textId="77777777" w:rsidR="00027E97" w:rsidRPr="009700CE" w:rsidRDefault="00027E97">
            <w:pPr>
              <w:pStyle w:val="Fuzeile"/>
              <w:jc w:val="right"/>
              <w:rPr>
                <w:rFonts w:ascii="Poppins Light" w:hAnsi="Poppins Light" w:cs="Poppins Light"/>
                <w:sz w:val="14"/>
                <w:szCs w:val="14"/>
              </w:rPr>
            </w:pPr>
            <w:r w:rsidRPr="009700CE">
              <w:rPr>
                <w:rFonts w:ascii="Poppins Light" w:hAnsi="Poppins Light" w:cs="Poppins Light"/>
                <w:sz w:val="14"/>
                <w:szCs w:val="14"/>
              </w:rPr>
              <w:t xml:space="preserve">Seite </w: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begin"/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instrText>PAGE</w:instrTex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separate"/>
            </w:r>
            <w:r w:rsidR="004F1FCE">
              <w:rPr>
                <w:rFonts w:ascii="Poppins Light" w:hAnsi="Poppins Light" w:cs="Poppins Light"/>
                <w:noProof/>
                <w:sz w:val="14"/>
                <w:szCs w:val="14"/>
              </w:rPr>
              <w:t>3</w: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end"/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t xml:space="preserve"> von </w: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begin"/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instrText>NUMPAGES</w:instrTex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separate"/>
            </w:r>
            <w:r w:rsidR="004F1FCE">
              <w:rPr>
                <w:rFonts w:ascii="Poppins Light" w:hAnsi="Poppins Light" w:cs="Poppins Light"/>
                <w:noProof/>
                <w:sz w:val="14"/>
                <w:szCs w:val="14"/>
              </w:rPr>
              <w:t>3</w:t>
            </w:r>
            <w:r w:rsidRPr="009700CE">
              <w:rPr>
                <w:rFonts w:ascii="Poppins Light" w:hAnsi="Poppins Light" w:cs="Poppins Light"/>
                <w:sz w:val="14"/>
                <w:szCs w:val="14"/>
              </w:rPr>
              <w:fldChar w:fldCharType="end"/>
            </w:r>
          </w:p>
        </w:sdtContent>
      </w:sdt>
    </w:sdtContent>
  </w:sdt>
  <w:p w14:paraId="0EE00260" w14:textId="77777777" w:rsidR="006F1D54" w:rsidRPr="009700CE" w:rsidRDefault="006F1D54">
    <w:pPr>
      <w:pStyle w:val="Fuzeile"/>
      <w:rPr>
        <w:rFonts w:ascii="Poppins Light" w:hAnsi="Poppins Light" w:cs="Poppins Light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427309" w14:textId="77777777" w:rsidR="003A72F4" w:rsidRDefault="003A72F4" w:rsidP="006F1D54">
      <w:pPr>
        <w:spacing w:line="240" w:lineRule="auto"/>
      </w:pPr>
      <w:r>
        <w:separator/>
      </w:r>
    </w:p>
  </w:footnote>
  <w:footnote w:type="continuationSeparator" w:id="0">
    <w:p w14:paraId="496B83FF" w14:textId="77777777" w:rsidR="003A72F4" w:rsidRDefault="003A72F4" w:rsidP="006F1D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5C85C8" w14:textId="77777777" w:rsidR="00211552" w:rsidRDefault="00AC4E8E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65E7C2" wp14:editId="0EEE09A8">
          <wp:simplePos x="0" y="0"/>
          <wp:positionH relativeFrom="column">
            <wp:posOffset>-910055</wp:posOffset>
          </wp:positionH>
          <wp:positionV relativeFrom="paragraph">
            <wp:posOffset>-1675331</wp:posOffset>
          </wp:positionV>
          <wp:extent cx="7559662" cy="1069326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Grafik 3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62" cy="10693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4F7E0A"/>
    <w:multiLevelType w:val="multilevel"/>
    <w:tmpl w:val="4174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7615D9"/>
    <w:multiLevelType w:val="multilevel"/>
    <w:tmpl w:val="A188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9441845">
    <w:abstractNumId w:val="0"/>
  </w:num>
  <w:num w:numId="2" w16cid:durableId="20494827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092"/>
    <w:rsid w:val="00027E97"/>
    <w:rsid w:val="00077092"/>
    <w:rsid w:val="0007767B"/>
    <w:rsid w:val="00097833"/>
    <w:rsid w:val="000E7725"/>
    <w:rsid w:val="001F2929"/>
    <w:rsid w:val="00211552"/>
    <w:rsid w:val="00277C10"/>
    <w:rsid w:val="002C56DD"/>
    <w:rsid w:val="002F1181"/>
    <w:rsid w:val="00311639"/>
    <w:rsid w:val="00367C97"/>
    <w:rsid w:val="00383D06"/>
    <w:rsid w:val="0039466C"/>
    <w:rsid w:val="003A72F4"/>
    <w:rsid w:val="003D260E"/>
    <w:rsid w:val="003F3792"/>
    <w:rsid w:val="00411B0F"/>
    <w:rsid w:val="00413590"/>
    <w:rsid w:val="00433AAF"/>
    <w:rsid w:val="00446EDA"/>
    <w:rsid w:val="0045193F"/>
    <w:rsid w:val="00476A0B"/>
    <w:rsid w:val="004A7617"/>
    <w:rsid w:val="004F1FCE"/>
    <w:rsid w:val="005F14B3"/>
    <w:rsid w:val="0061547A"/>
    <w:rsid w:val="00625C7C"/>
    <w:rsid w:val="00640CC5"/>
    <w:rsid w:val="006519AA"/>
    <w:rsid w:val="00657F81"/>
    <w:rsid w:val="006C38D0"/>
    <w:rsid w:val="006D5582"/>
    <w:rsid w:val="006F1D54"/>
    <w:rsid w:val="00737D0A"/>
    <w:rsid w:val="00763A4C"/>
    <w:rsid w:val="00791B8B"/>
    <w:rsid w:val="008045FA"/>
    <w:rsid w:val="008050CF"/>
    <w:rsid w:val="00822DF8"/>
    <w:rsid w:val="00824C1F"/>
    <w:rsid w:val="00835E23"/>
    <w:rsid w:val="00883FA1"/>
    <w:rsid w:val="008B260B"/>
    <w:rsid w:val="008E3AAC"/>
    <w:rsid w:val="00912ADA"/>
    <w:rsid w:val="00917E1E"/>
    <w:rsid w:val="00954506"/>
    <w:rsid w:val="009700CE"/>
    <w:rsid w:val="009F3ABE"/>
    <w:rsid w:val="00A07A0E"/>
    <w:rsid w:val="00A214CC"/>
    <w:rsid w:val="00A35ACE"/>
    <w:rsid w:val="00A563D4"/>
    <w:rsid w:val="00A62992"/>
    <w:rsid w:val="00A71789"/>
    <w:rsid w:val="00A80709"/>
    <w:rsid w:val="00A9345D"/>
    <w:rsid w:val="00AB7AE7"/>
    <w:rsid w:val="00AC4E8E"/>
    <w:rsid w:val="00B12D2F"/>
    <w:rsid w:val="00BB439E"/>
    <w:rsid w:val="00C277D6"/>
    <w:rsid w:val="00C565AF"/>
    <w:rsid w:val="00CC3B34"/>
    <w:rsid w:val="00CD6098"/>
    <w:rsid w:val="00CF1468"/>
    <w:rsid w:val="00D13798"/>
    <w:rsid w:val="00D26455"/>
    <w:rsid w:val="00D8315B"/>
    <w:rsid w:val="00D84339"/>
    <w:rsid w:val="00DD1C4A"/>
    <w:rsid w:val="00E612D1"/>
    <w:rsid w:val="00EA2D68"/>
    <w:rsid w:val="00F021DE"/>
    <w:rsid w:val="00F07DB6"/>
    <w:rsid w:val="00F27987"/>
    <w:rsid w:val="00F47CB3"/>
    <w:rsid w:val="00F701CB"/>
    <w:rsid w:val="00F933BF"/>
    <w:rsid w:val="00FB4800"/>
    <w:rsid w:val="00FB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F2FF5"/>
  <w15:chartTrackingRefBased/>
  <w15:docId w15:val="{584BA701-096D-491E-9D26-82D53F82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552"/>
    <w:pPr>
      <w:spacing w:after="0" w:line="32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F1D54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F1D54"/>
  </w:style>
  <w:style w:type="paragraph" w:styleId="Fuzeile">
    <w:name w:val="footer"/>
    <w:basedOn w:val="Standard"/>
    <w:link w:val="FuzeileZchn"/>
    <w:uiPriority w:val="99"/>
    <w:unhideWhenUsed/>
    <w:rsid w:val="006F1D54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F1D54"/>
  </w:style>
  <w:style w:type="table" w:styleId="Tabellenraster">
    <w:name w:val="Table Grid"/>
    <w:basedOn w:val="NormaleTabelle"/>
    <w:uiPriority w:val="39"/>
    <w:rsid w:val="00F70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atvorlage1">
    <w:name w:val="Formatvorlage1"/>
    <w:basedOn w:val="NormaleTabelle"/>
    <w:uiPriority w:val="99"/>
    <w:rsid w:val="003D260E"/>
    <w:pPr>
      <w:spacing w:after="0" w:line="240" w:lineRule="auto"/>
    </w:pPr>
    <w:rPr>
      <w:rFonts w:ascii="Roboto Light" w:hAnsi="Roboto Light"/>
    </w:rPr>
    <w:tblPr/>
  </w:style>
  <w:style w:type="table" w:styleId="Gitternetztabelle2Akzent2">
    <w:name w:val="Grid Table 2 Accent 2"/>
    <w:basedOn w:val="NormaleTabelle"/>
    <w:uiPriority w:val="47"/>
    <w:rsid w:val="003D260E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Formatvorlage2">
    <w:name w:val="Formatvorlage2"/>
    <w:basedOn w:val="Tabellendesign"/>
    <w:uiPriority w:val="99"/>
    <w:rsid w:val="00097833"/>
    <w:pPr>
      <w:spacing w:line="240" w:lineRule="auto"/>
    </w:pPr>
    <w:tblPr>
      <w:tblStyleRowBandSize w:val="1"/>
    </w:tblPr>
    <w:tblStylePr w:type="firstRow">
      <w:pPr>
        <w:jc w:val="center"/>
      </w:pPr>
      <w:rPr>
        <w:rFonts w:ascii="Roboto Medium" w:hAnsi="Roboto Medium"/>
        <w:b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18" w:space="0" w:color="FFFFFF" w:themeColor="background1"/>
          <w:tl2br w:val="nil"/>
          <w:tr2bl w:val="nil"/>
        </w:tcBorders>
        <w:shd w:val="clear" w:color="auto" w:fill="E91E63"/>
      </w:tcPr>
    </w:tblStylePr>
    <w:tblStylePr w:type="firstCol">
      <w:pPr>
        <w:jc w:val="center"/>
      </w:pPr>
      <w:tblPr/>
      <w:tcPr>
        <w:tcBorders>
          <w:right w:val="single" w:sz="18" w:space="0" w:color="54595F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9EAEB"/>
      </w:tcPr>
    </w:tblStylePr>
    <w:tblStylePr w:type="band2Horz">
      <w:pPr>
        <w:jc w:val="left"/>
      </w:pPr>
      <w:rPr>
        <w:rFonts w:ascii="Roboto Light" w:hAnsi="Roboto Light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097833"/>
    <w:pPr>
      <w:spacing w:after="0" w:line="32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345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345D"/>
    <w:rPr>
      <w:rFonts w:ascii="Segoe UI" w:eastAsia="Times New Roman" w:hAnsi="Segoe UI" w:cs="Segoe UI"/>
      <w:sz w:val="18"/>
      <w:szCs w:val="18"/>
      <w:lang w:eastAsia="de-DE"/>
    </w:rPr>
  </w:style>
  <w:style w:type="character" w:styleId="Hyperlink">
    <w:name w:val="Hyperlink"/>
    <w:basedOn w:val="Absatz-Standardschriftart"/>
    <w:uiPriority w:val="99"/>
    <w:unhideWhenUsed/>
    <w:rsid w:val="00E612D1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612D1"/>
    <w:rPr>
      <w:color w:val="605E5C"/>
      <w:shd w:val="clear" w:color="auto" w:fill="E1DFDD"/>
    </w:rPr>
  </w:style>
  <w:style w:type="paragraph" w:styleId="KeinLeerraum">
    <w:name w:val="No Spacing"/>
    <w:link w:val="KeinLeerraumZchn"/>
    <w:uiPriority w:val="1"/>
    <w:qFormat/>
    <w:rsid w:val="00211552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211552"/>
    <w:rPr>
      <w:rFonts w:eastAsiaTheme="minorEastAsia"/>
      <w:lang w:eastAsia="de-DE"/>
    </w:rPr>
  </w:style>
  <w:style w:type="paragraph" w:styleId="Listenabsatz">
    <w:name w:val="List Paragraph"/>
    <w:basedOn w:val="Standard"/>
    <w:uiPriority w:val="34"/>
    <w:qFormat/>
    <w:rsid w:val="00367C9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6D5582"/>
    <w:rPr>
      <w:color w:val="605E5C"/>
      <w:shd w:val="clear" w:color="auto" w:fill="E1DFDD"/>
    </w:rPr>
  </w:style>
  <w:style w:type="paragraph" w:customStyle="1" w:styleId="wp-block-paragraph">
    <w:name w:val="wp-block-paragraph"/>
    <w:basedOn w:val="Standard"/>
    <w:rsid w:val="00737D0A"/>
    <w:pPr>
      <w:spacing w:before="100" w:beforeAutospacing="1" w:after="100" w:afterAutospacing="1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ec.enginsight.com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ec.enginsight.com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ec.enginsight.com/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enginsight.com" TargetMode="External"/><Relationship Id="rId10" Type="http://schemas.openxmlformats.org/officeDocument/2006/relationships/hyperlink" Target="https://sec.enginsight.com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nginsight.com/de/partne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B9B091AAB57746A4066DF9540ABAD7" ma:contentTypeVersion="13" ma:contentTypeDescription="Ein neues Dokument erstellen." ma:contentTypeScope="" ma:versionID="06ae1e7c8ef2fc41174655a9771ce1ed">
  <xsd:schema xmlns:xsd="http://www.w3.org/2001/XMLSchema" xmlns:xs="http://www.w3.org/2001/XMLSchema" xmlns:p="http://schemas.microsoft.com/office/2006/metadata/properties" xmlns:ns2="af4b70dc-15e8-4bd4-95cc-5fc6e5d806b9" xmlns:ns3="67717297-375d-4094-aebf-8df56d003c3c" targetNamespace="http://schemas.microsoft.com/office/2006/metadata/properties" ma:root="true" ma:fieldsID="e8f225c759b56d1186ad3a46a5bc45f1" ns2:_="" ns3:_="">
    <xsd:import namespace="af4b70dc-15e8-4bd4-95cc-5fc6e5d806b9"/>
    <xsd:import namespace="67717297-375d-4094-aebf-8df56d003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b70dc-15e8-4bd4-95cc-5fc6e5d80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6d8085f1-c13c-4d6c-82bb-d85fbf619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17297-375d-4094-aebf-8df56d003c3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12bdb93-8031-467a-8c10-fd7e755b6f22}" ma:internalName="TaxCatchAll" ma:showField="CatchAllData" ma:web="67717297-375d-4094-aebf-8df56d003c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4b70dc-15e8-4bd4-95cc-5fc6e5d806b9">
      <Terms xmlns="http://schemas.microsoft.com/office/infopath/2007/PartnerControls"/>
    </lcf76f155ced4ddcb4097134ff3c332f>
    <TaxCatchAll xmlns="67717297-375d-4094-aebf-8df56d003c3c" xsi:nil="true"/>
  </documentManagement>
</p:properties>
</file>

<file path=customXml/itemProps1.xml><?xml version="1.0" encoding="utf-8"?>
<ds:datastoreItem xmlns:ds="http://schemas.openxmlformats.org/officeDocument/2006/customXml" ds:itemID="{0C2AAC69-1EAF-4F46-9971-8499E39732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E51C9-350A-415B-8128-8940B8483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4b70dc-15e8-4bd4-95cc-5fc6e5d806b9"/>
    <ds:schemaRef ds:uri="67717297-375d-4094-aebf-8df56d003c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28498B-877F-4D24-826B-51725BB21A71}">
  <ds:schemaRefs>
    <ds:schemaRef ds:uri="http://schemas.microsoft.com/office/2006/metadata/properties"/>
    <ds:schemaRef ds:uri="http://schemas.microsoft.com/office/infopath/2007/PartnerControls"/>
    <ds:schemaRef ds:uri="af4b70dc-15e8-4bd4-95cc-5fc6e5d806b9"/>
    <ds:schemaRef ds:uri="67717297-375d-4094-aebf-8df56d003c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673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Schulze</dc:creator>
  <cp:keywords/>
  <dc:description/>
  <cp:lastModifiedBy>Sabine Kuch (Extern)</cp:lastModifiedBy>
  <cp:revision>2</cp:revision>
  <cp:lastPrinted>2026-04-30T10:41:00Z</cp:lastPrinted>
  <dcterms:created xsi:type="dcterms:W3CDTF">2026-09-17T06:50:00Z</dcterms:created>
  <dcterms:modified xsi:type="dcterms:W3CDTF">2026-09-17T06:50:00Z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0x010100D7B9B091AAB57746A4066DF9540ABAD7</vt:lpwstr>
  </property>
  <property fmtid="{D5CDD505-2E9C-101B-9397-08002B2CF9AE}" pid="3" name="MediaServiceImageTags">
    <vt:lpwstr/>
  </property>
</Properties>
</file>