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2334F6" w14:textId="77777777" w:rsidR="00D26455" w:rsidRDefault="00000000">
      <w:pPr>
        <w:spacing w:after="200" w:line="280" w:lineRule="auto"/>
      </w:pPr>
      <w:r>
        <w:rPr>
          <w:rFonts w:ascii="Poppins Medium" w:hAnsi="Poppins Medium" w:cs="Poppins Medium"/>
          <w:color w:val="E91E63"/>
          <w:sz w:val="18"/>
          <w:szCs w:val="18"/>
        </w:rPr>
        <w:t>PRESSEMITTEILUNG</w:t>
      </w:r>
    </w:p>
    <w:p w14:paraId="011C64F1" w14:textId="3A6931B3" w:rsidR="001948CA" w:rsidRPr="001948CA" w:rsidRDefault="001948CA" w:rsidP="001948CA">
      <w:pPr>
        <w:spacing w:before="100" w:beforeAutospacing="1" w:after="100" w:afterAutospacing="1" w:line="300" w:lineRule="atLeast"/>
        <w:outlineLvl w:val="0"/>
        <w:rPr>
          <w:rFonts w:ascii="Poppins" w:hAnsi="Poppins" w:cs="Poppins"/>
          <w:sz w:val="36"/>
          <w:szCs w:val="36"/>
        </w:rPr>
      </w:pPr>
      <w:proofErr w:type="spellStart"/>
      <w:r w:rsidRPr="001948CA">
        <w:rPr>
          <w:rFonts w:ascii="Poppins" w:hAnsi="Poppins" w:cs="Poppins"/>
          <w:sz w:val="36"/>
          <w:szCs w:val="36"/>
        </w:rPr>
        <w:t>Enginsight</w:t>
      </w:r>
      <w:proofErr w:type="spellEnd"/>
      <w:r w:rsidRPr="001948CA">
        <w:rPr>
          <w:rFonts w:ascii="Poppins" w:hAnsi="Poppins" w:cs="Poppins"/>
          <w:sz w:val="36"/>
          <w:szCs w:val="36"/>
        </w:rPr>
        <w:t xml:space="preserve"> auf der it-</w:t>
      </w:r>
      <w:proofErr w:type="spellStart"/>
      <w:r w:rsidRPr="001948CA">
        <w:rPr>
          <w:rFonts w:ascii="Poppins" w:hAnsi="Poppins" w:cs="Poppins"/>
          <w:sz w:val="36"/>
          <w:szCs w:val="36"/>
        </w:rPr>
        <w:t>sa</w:t>
      </w:r>
      <w:proofErr w:type="spellEnd"/>
      <w:r w:rsidRPr="001948CA">
        <w:rPr>
          <w:rFonts w:ascii="Poppins" w:hAnsi="Poppins" w:cs="Poppins"/>
          <w:sz w:val="36"/>
          <w:szCs w:val="36"/>
        </w:rPr>
        <w:t xml:space="preserve"> 2026: Cyberrisiken erkennen, Kontrolle behalten</w:t>
      </w:r>
    </w:p>
    <w:p w14:paraId="395910F2" w14:textId="77777777" w:rsidR="001948CA" w:rsidRPr="001948CA" w:rsidRDefault="001948CA" w:rsidP="001948CA">
      <w:pPr>
        <w:spacing w:before="100" w:beforeAutospacing="1" w:after="100" w:afterAutospacing="1" w:line="300" w:lineRule="atLeast"/>
        <w:outlineLvl w:val="1"/>
        <w:rPr>
          <w:rFonts w:ascii="Poppins" w:hAnsi="Poppins" w:cs="Poppins"/>
          <w:sz w:val="32"/>
          <w:szCs w:val="32"/>
        </w:rPr>
      </w:pPr>
      <w:r w:rsidRPr="001948CA">
        <w:rPr>
          <w:rFonts w:ascii="Poppins" w:hAnsi="Poppins" w:cs="Poppins"/>
          <w:sz w:val="32"/>
          <w:szCs w:val="32"/>
        </w:rPr>
        <w:t xml:space="preserve">Fünf Partner, zwölf Demo-Points und ein Ziel: Risiken sichtbar machen, konkrete Maßnahmen umsetzen </w:t>
      </w:r>
    </w:p>
    <w:p w14:paraId="28EBF1E1" w14:textId="63E91210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Jena, </w:t>
      </w:r>
      <w:r>
        <w:rPr>
          <w:rFonts w:ascii="Poppins Light" w:hAnsi="Poppins Light" w:cs="Poppins Light"/>
          <w:b/>
          <w:bCs/>
          <w:color w:val="000000"/>
          <w:sz w:val="18"/>
          <w:szCs w:val="18"/>
        </w:rPr>
        <w:t>6. Oktober</w:t>
      </w:r>
      <w:r w:rsidRPr="001948C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 2026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– Welche Systeme sind tatsächlich angreifbar? Welche Risiken müssen zuerst behandelt werden? Und woran lässt sich erkennen, ob eine Sicherheitsmaßnahme tatsächlich wirkt? Diese Fragen stellt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in den Mittelpunkt seines Auftritts auf der it-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sa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2026. Unter dem Motto „Ich sehe was, was Du nicht siehst“ zeigt der deutsche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Cybersecurity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-Anbieter vom 27. bis 29. Oktober 2026 in Nürnberg gemeinsam mit fünf Partnern, wie Unternehmen von Annahmen über ihre Sicherheit zu einem belastbaren und überprüfbaren Bild ihres Sicherheitszustands gelangen. </w:t>
      </w:r>
    </w:p>
    <w:p w14:paraId="7EAAFB22" w14:textId="529A25DC" w:rsidR="001948CA" w:rsidRPr="001948CA" w:rsidRDefault="001948CA" w:rsidP="001948CA">
      <w:pPr>
        <w:spacing w:before="100" w:beforeAutospacing="1" w:after="100" w:afterAutospacing="1" w:line="300" w:lineRule="atLeast"/>
        <w:outlineLvl w:val="1"/>
        <w:rPr>
          <w:rFonts w:ascii="Poppins Light" w:hAnsi="Poppins Light" w:cs="Poppins Light"/>
          <w:color w:val="000000"/>
          <w:sz w:val="21"/>
          <w:szCs w:val="21"/>
        </w:rPr>
      </w:pPr>
      <w:r w:rsidRPr="001948CA">
        <w:rPr>
          <w:rFonts w:ascii="Poppins Light" w:hAnsi="Poppins Light" w:cs="Poppins Light"/>
          <w:color w:val="000000"/>
          <w:sz w:val="21"/>
          <w:szCs w:val="21"/>
        </w:rPr>
        <w:t xml:space="preserve">Komplexität </w:t>
      </w:r>
      <w:proofErr w:type="spellStart"/>
      <w:r>
        <w:rPr>
          <w:rFonts w:ascii="Poppins Light" w:hAnsi="Poppins Light" w:cs="Poppins Light"/>
          <w:color w:val="000000"/>
          <w:sz w:val="21"/>
          <w:szCs w:val="21"/>
        </w:rPr>
        <w:t>reduzieren</w:t>
      </w:r>
      <w:r w:rsidR="00B152FC">
        <w:rPr>
          <w:rFonts w:ascii="Poppins Light" w:hAnsi="Poppins Light" w:cs="Poppins Light"/>
          <w:color w:val="000000"/>
          <w:sz w:val="21"/>
          <w:szCs w:val="21"/>
        </w:rPr>
        <w:t>. Entscheidungen</w:t>
      </w:r>
      <w:proofErr w:type="spellEnd"/>
      <w:r w:rsidR="00B152FC">
        <w:rPr>
          <w:rFonts w:ascii="Poppins Light" w:hAnsi="Poppins Light" w:cs="Poppins Light"/>
          <w:color w:val="000000"/>
          <w:sz w:val="21"/>
          <w:szCs w:val="21"/>
        </w:rPr>
        <w:t xml:space="preserve"> fundieren</w:t>
      </w:r>
    </w:p>
    <w:p w14:paraId="0071429D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Im Mittelpunkt des Messeauftritts steht die Verbindung von automatisierter Sicherheitsanalyse und konkretem Handeln. Die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>-Plattform unterstützt Unternehmen dabei, Schwachstellen zu identifizieren, Risiken zu priorisieren, geeignete Maßnahmen einzuleiten und deren Wirksamkeit zu überprüfen.</w:t>
      </w:r>
    </w:p>
    <w:p w14:paraId="14152CDF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i/>
          <w:iCs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 xml:space="preserve">„Eine Geschäftsführung muss nicht jedes technische Detail kennen. Sie muss aber wissen, welche Risiken für das Unternehmen relevant sind, wo Handlungsbedarf besteht und worauf sie ihre Entscheidungen stützen kann“, sagt </w:t>
      </w:r>
      <w:r w:rsidRPr="001948CA">
        <w:rPr>
          <w:rFonts w:ascii="Poppins Light" w:hAnsi="Poppins Light" w:cs="Poppins Light"/>
          <w:b/>
          <w:bCs/>
          <w:i/>
          <w:iCs/>
          <w:color w:val="000000"/>
          <w:sz w:val="18"/>
          <w:szCs w:val="18"/>
        </w:rPr>
        <w:t xml:space="preserve">Mario Jandeck, CEO von </w:t>
      </w:r>
      <w:proofErr w:type="spellStart"/>
      <w:r w:rsidRPr="001948CA">
        <w:rPr>
          <w:rFonts w:ascii="Poppins Light" w:hAnsi="Poppins Light" w:cs="Poppins Light"/>
          <w:b/>
          <w:bCs/>
          <w:i/>
          <w:iCs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>. „Unser Anspruch ist, dass Sicherheit nicht auf Vermutungen beruht. Automatisierung soll belastbare Erkenntnisse liefern, damit Menschen Verantwortung wahrnehmen und die Kontrolle behalten können.“</w:t>
      </w:r>
    </w:p>
    <w:p w14:paraId="0B672475" w14:textId="27C757A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Damit verbindet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technische Sicherheitsarbeit mit einer zentralen Managementfrage: Welche Erkenntnisse liegen über den Schutz geschäftskritischer Systeme vor</w:t>
      </w:r>
      <w:r>
        <w:rPr>
          <w:rFonts w:ascii="Poppins Light" w:hAnsi="Poppins Light" w:cs="Poppins Light"/>
          <w:color w:val="000000"/>
          <w:sz w:val="18"/>
          <w:szCs w:val="18"/>
        </w:rPr>
        <w:t xml:space="preserve">, 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>und welche Entscheidungen folgen daraus?</w:t>
      </w:r>
    </w:p>
    <w:p w14:paraId="0EEE5963" w14:textId="6AC09E23" w:rsidR="001948CA" w:rsidRPr="001948CA" w:rsidRDefault="001948CA" w:rsidP="001948CA">
      <w:pPr>
        <w:spacing w:before="100" w:beforeAutospacing="1" w:after="100" w:afterAutospacing="1" w:line="300" w:lineRule="atLeast"/>
        <w:outlineLvl w:val="1"/>
        <w:rPr>
          <w:rFonts w:ascii="Poppins Light" w:hAnsi="Poppins Light" w:cs="Poppins Light"/>
          <w:color w:val="000000"/>
          <w:sz w:val="21"/>
          <w:szCs w:val="21"/>
        </w:rPr>
      </w:pPr>
      <w:r w:rsidRPr="001948CA">
        <w:rPr>
          <w:rFonts w:ascii="Poppins Light" w:hAnsi="Poppins Light" w:cs="Poppins Light"/>
          <w:color w:val="000000"/>
          <w:sz w:val="21"/>
          <w:szCs w:val="21"/>
        </w:rPr>
        <w:t>Zwölf Demo-</w:t>
      </w:r>
      <w:proofErr w:type="spellStart"/>
      <w:r w:rsidRPr="001948CA">
        <w:rPr>
          <w:rFonts w:ascii="Poppins Light" w:hAnsi="Poppins Light" w:cs="Poppins Light"/>
          <w:color w:val="000000"/>
          <w:sz w:val="21"/>
          <w:szCs w:val="21"/>
        </w:rPr>
        <w:t>Points</w:t>
      </w:r>
      <w:r w:rsidR="00B152FC">
        <w:rPr>
          <w:rFonts w:ascii="Poppins Light" w:hAnsi="Poppins Light" w:cs="Poppins Light"/>
          <w:color w:val="000000"/>
          <w:sz w:val="21"/>
          <w:szCs w:val="21"/>
        </w:rPr>
        <w:t xml:space="preserve">. </w:t>
      </w:r>
      <w:r w:rsidRPr="001948CA">
        <w:rPr>
          <w:rFonts w:ascii="Poppins Light" w:hAnsi="Poppins Light" w:cs="Poppins Light"/>
          <w:color w:val="000000"/>
          <w:sz w:val="21"/>
          <w:szCs w:val="21"/>
        </w:rPr>
        <w:t>Vom</w:t>
      </w:r>
      <w:proofErr w:type="spellEnd"/>
      <w:r w:rsidRPr="001948CA">
        <w:rPr>
          <w:rFonts w:ascii="Poppins Light" w:hAnsi="Poppins Light" w:cs="Poppins Light"/>
          <w:color w:val="000000"/>
          <w:sz w:val="21"/>
          <w:szCs w:val="21"/>
        </w:rPr>
        <w:t xml:space="preserve"> Befund zur Lösung</w:t>
      </w:r>
    </w:p>
    <w:p w14:paraId="68E7E19F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Herzstück des Messeauftritts sind zwölf interaktive Demo-Points, an denen Besucher die Security-Operations-Plattform von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live erleben können. Im Fokus stehen Schwachstellenmanagement, automatisierte Penetrationstests, Angriffserkennung, Security Monitoring, Compliance-Analysen, SIEM-Funktionalitäten sowie automatisierte Sicherheitsmaßnahmen. Die Live-Demonstrationen zeigen praxisnah, wie aus einzelnen Befunden konkrete Handlungsschritte entstehen.</w:t>
      </w:r>
    </w:p>
    <w:p w14:paraId="22C7913A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i/>
          <w:iCs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color w:val="000000"/>
          <w:sz w:val="18"/>
          <w:szCs w:val="18"/>
        </w:rPr>
        <w:lastRenderedPageBreak/>
        <w:t xml:space="preserve">Eine Schwachstelle wird erkannt, im Kontext des betroffenen Systems bewertet und anschließend behoben. Danach erfolgt eine erneute Prüfung, um die Wirksamkeit der Maßnahme nachzuweisen. Parallel unterstützen Monitoring- und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Detection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-Funktionen dabei, sicherheitsrelevante </w:t>
      </w:r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>Veränderungen im laufenden Betrieb frühzeitig zu erkennen.</w:t>
      </w:r>
    </w:p>
    <w:p w14:paraId="5D1B34FC" w14:textId="2C2D9DA3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>„Ein gefundener Fehler ist noch kein behobenes Risiko. Und eine umgesetzte Maßnahme ist noch kein überprüftes Ergebnis“,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sagt </w:t>
      </w:r>
      <w:r w:rsidRPr="001948C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Eric Range, CTO von </w:t>
      </w:r>
      <w:proofErr w:type="spellStart"/>
      <w:r w:rsidRPr="001948CA">
        <w:rPr>
          <w:rFonts w:ascii="Poppins Light" w:hAnsi="Poppins Light" w:cs="Poppins Light"/>
          <w:b/>
          <w:bCs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. </w:t>
      </w:r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>„Entscheidend ist</w:t>
      </w:r>
      <w:r>
        <w:rPr>
          <w:rFonts w:ascii="Poppins Light" w:hAnsi="Poppins Light" w:cs="Poppins Light"/>
          <w:i/>
          <w:iCs/>
          <w:color w:val="000000"/>
          <w:sz w:val="18"/>
          <w:szCs w:val="18"/>
        </w:rPr>
        <w:t xml:space="preserve"> es</w:t>
      </w:r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 xml:space="preserve"> Erkennen, Bewerten, Handeln und Nachprüfen miteinander zu verbinden. So können Sicherheitsteams nachvollziehen, was sich verbessert hat und wo weiterhin Handlungsbedarf besteht.“</w:t>
      </w:r>
    </w:p>
    <w:p w14:paraId="77CC9C5B" w14:textId="77777777" w:rsidR="001948CA" w:rsidRPr="001948CA" w:rsidRDefault="001948CA" w:rsidP="001948CA">
      <w:pPr>
        <w:spacing w:before="100" w:beforeAutospacing="1" w:after="100" w:afterAutospacing="1" w:line="300" w:lineRule="atLeast"/>
        <w:outlineLvl w:val="1"/>
        <w:rPr>
          <w:rFonts w:ascii="Poppins Light" w:hAnsi="Poppins Light" w:cs="Poppins Light"/>
          <w:color w:val="000000"/>
          <w:sz w:val="21"/>
          <w:szCs w:val="21"/>
        </w:rPr>
      </w:pPr>
      <w:r w:rsidRPr="001948CA">
        <w:rPr>
          <w:rFonts w:ascii="Poppins Light" w:hAnsi="Poppins Light" w:cs="Poppins Light"/>
          <w:color w:val="000000"/>
          <w:sz w:val="21"/>
          <w:szCs w:val="21"/>
        </w:rPr>
        <w:t xml:space="preserve">Gemeinsam mit Partnern vom Rollout bis zum </w:t>
      </w:r>
      <w:proofErr w:type="spellStart"/>
      <w:r w:rsidRPr="001948CA">
        <w:rPr>
          <w:rFonts w:ascii="Poppins Light" w:hAnsi="Poppins Light" w:cs="Poppins Light"/>
          <w:color w:val="000000"/>
          <w:sz w:val="21"/>
          <w:szCs w:val="21"/>
        </w:rPr>
        <w:t>Managed</w:t>
      </w:r>
      <w:proofErr w:type="spellEnd"/>
      <w:r w:rsidRPr="001948CA">
        <w:rPr>
          <w:rFonts w:ascii="Poppins Light" w:hAnsi="Poppins Light" w:cs="Poppins Light"/>
          <w:color w:val="000000"/>
          <w:sz w:val="21"/>
          <w:szCs w:val="21"/>
        </w:rPr>
        <w:t xml:space="preserve"> Service</w:t>
      </w:r>
    </w:p>
    <w:p w14:paraId="7F975613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Mit IBYKUS AG,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Concat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AG,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rootIT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SECURITY GmbH, </w:t>
      </w:r>
      <w:proofErr w:type="spellStart"/>
      <w:proofErr w:type="gramStart"/>
      <w:r w:rsidRPr="001948CA">
        <w:rPr>
          <w:rFonts w:ascii="Poppins Light" w:hAnsi="Poppins Light" w:cs="Poppins Light"/>
          <w:color w:val="000000"/>
          <w:sz w:val="18"/>
          <w:szCs w:val="18"/>
        </w:rPr>
        <w:t>ho.Systeme</w:t>
      </w:r>
      <w:proofErr w:type="spellEnd"/>
      <w:proofErr w:type="gram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GmbH &amp; Co. KG und der ISO-Gruppe präsentiert sich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gemeinsam mit fünf erfahrenen Partnern auf der it-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sa.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Zusammen decken sie das gesamte Spektrum moderner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Cybersecurity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ab – von Beratung und Implementierung über den operativen Betrieb bis hin zu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Managed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Security Services. </w:t>
      </w:r>
    </w:p>
    <w:p w14:paraId="6BCE233E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Besucher erhalten konkrete Einblicke in die praktische Umsetzung von Sicherheitsprozessen: Wer bewertet einen Befund? Wer entscheidet über Maßnahmen? Wer setzt diese um und überprüft deren Erfolg? Diese Fragen können Unternehmen gemeinsam mit den Experten von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und seinen Partnern anhand ihrer individuellen Anforderungen diskutieren.</w:t>
      </w:r>
    </w:p>
    <w:p w14:paraId="5E2AE39A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>„Unternehmen suchen heute keine weitere Einzellösung. Sie suchen Klarheit darüber, wo ihre größten Risiken liegen und wie sie diese wirksam reduzieren können“,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sagt </w:t>
      </w:r>
      <w:r w:rsidRPr="001948C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Max Tarantik, COO von </w:t>
      </w:r>
      <w:proofErr w:type="spellStart"/>
      <w:r w:rsidRPr="001948CA">
        <w:rPr>
          <w:rFonts w:ascii="Poppins Light" w:hAnsi="Poppins Light" w:cs="Poppins Light"/>
          <w:b/>
          <w:bCs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. </w:t>
      </w:r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>„Genau deshalb zeigen wir auf der it-</w:t>
      </w:r>
      <w:proofErr w:type="spellStart"/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>sa</w:t>
      </w:r>
      <w:proofErr w:type="spellEnd"/>
      <w:r w:rsidRPr="001948CA">
        <w:rPr>
          <w:rFonts w:ascii="Poppins Light" w:hAnsi="Poppins Light" w:cs="Poppins Light"/>
          <w:i/>
          <w:iCs/>
          <w:color w:val="000000"/>
          <w:sz w:val="18"/>
          <w:szCs w:val="18"/>
        </w:rPr>
        <w:t xml:space="preserve"> gemeinsam mit unseren Partnern, wie aus Technologie konkrete Mehrwerte für Kunden entstehen.“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</w:t>
      </w:r>
    </w:p>
    <w:p w14:paraId="2E6A824F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color w:val="000000"/>
          <w:sz w:val="18"/>
          <w:szCs w:val="18"/>
        </w:rPr>
        <w:t>Die Zusammenarbeit mit dem Channel als „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trusted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advisor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“ ist ein zentraler Bestandteil der Wachstumsstrategie von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. Unterstützt werden diese durch strategische Partnerschaften mit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Infinigate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, TAROX, ADN und ALSO. </w:t>
      </w:r>
    </w:p>
    <w:p w14:paraId="4715D1BD" w14:textId="77777777" w:rsidR="001948CA" w:rsidRPr="001948CA" w:rsidRDefault="001948CA" w:rsidP="001948CA">
      <w:pPr>
        <w:spacing w:before="100" w:beforeAutospacing="1" w:after="100" w:afterAutospacing="1" w:line="300" w:lineRule="atLeast"/>
        <w:outlineLvl w:val="1"/>
        <w:rPr>
          <w:rFonts w:ascii="Poppins Light" w:hAnsi="Poppins Light" w:cs="Poppins Light"/>
          <w:color w:val="000000"/>
          <w:sz w:val="21"/>
          <w:szCs w:val="21"/>
        </w:rPr>
      </w:pPr>
      <w:proofErr w:type="spellStart"/>
      <w:r w:rsidRPr="001948CA">
        <w:rPr>
          <w:rFonts w:ascii="Poppins Light" w:hAnsi="Poppins Light" w:cs="Poppins Light"/>
          <w:color w:val="000000"/>
          <w:sz w:val="21"/>
          <w:szCs w:val="21"/>
        </w:rPr>
        <w:t>Cybersecurity</w:t>
      </w:r>
      <w:proofErr w:type="spellEnd"/>
      <w:r w:rsidRPr="001948CA">
        <w:rPr>
          <w:rFonts w:ascii="Poppins Light" w:hAnsi="Poppins Light" w:cs="Poppins Light"/>
          <w:color w:val="000000"/>
          <w:sz w:val="21"/>
          <w:szCs w:val="21"/>
        </w:rPr>
        <w:t xml:space="preserve"> „Made in Germany“</w:t>
      </w:r>
    </w:p>
    <w:p w14:paraId="2B1C0C9D" w14:textId="77777777" w:rsidR="001948CA" w:rsidRPr="001948CA" w:rsidRDefault="001948CA" w:rsidP="001948CA">
      <w:pPr>
        <w:spacing w:before="100" w:beforeAutospacing="1" w:after="100" w:afterAutospacing="1" w:line="300" w:lineRule="atLeast"/>
        <w:outlineLvl w:val="1"/>
        <w:rPr>
          <w:rFonts w:ascii="Poppins Light" w:hAnsi="Poppins Light" w:cs="Poppins Light"/>
          <w:color w:val="000000"/>
          <w:sz w:val="18"/>
          <w:szCs w:val="18"/>
        </w:rPr>
      </w:pP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entwickelt seine Plattform vollständig in Deutschland. Der Anspruch an digitale Souveränität verbindet sich dabei mit dem Ziel, Unternehmen mehr Kontrolle über ihre IT-Sicherheit zu ermöglichen: Automatisierte Analysen unterstützen die Bewertung des Sicherheitszustands; Menschen entscheiden über Prioritäten, vertretbare Risiken und Eingriffe in den Betrieb. Sichtbarkeit ist dabei kein Selbstzweck. Sie soll die Grundlage schaffen, Risiken gezielt zu reduzieren und Fortschritte nachvollziehbar zu machen.</w:t>
      </w:r>
    </w:p>
    <w:p w14:paraId="6E1CAB6A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B152FC">
        <w:rPr>
          <w:rFonts w:ascii="Poppins Light" w:hAnsi="Poppins Light" w:cs="Poppins Light"/>
          <w:i/>
          <w:iCs/>
          <w:color w:val="000000"/>
          <w:sz w:val="18"/>
          <w:szCs w:val="18"/>
        </w:rPr>
        <w:t>„</w:t>
      </w:r>
      <w:proofErr w:type="spellStart"/>
      <w:r w:rsidRPr="00B152FC">
        <w:rPr>
          <w:rFonts w:ascii="Poppins Light" w:hAnsi="Poppins Light" w:cs="Poppins Light"/>
          <w:i/>
          <w:iCs/>
          <w:color w:val="000000"/>
          <w:sz w:val="18"/>
          <w:szCs w:val="18"/>
        </w:rPr>
        <w:t>Cybersecurity</w:t>
      </w:r>
      <w:proofErr w:type="spellEnd"/>
      <w:r w:rsidRPr="00B152FC">
        <w:rPr>
          <w:rFonts w:ascii="Poppins Light" w:hAnsi="Poppins Light" w:cs="Poppins Light"/>
          <w:i/>
          <w:iCs/>
          <w:color w:val="000000"/>
          <w:sz w:val="18"/>
          <w:szCs w:val="18"/>
        </w:rPr>
        <w:t xml:space="preserve"> entwickelt sich vom IT-Projekt zur strategischen Managementaufgabe“,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sagt </w:t>
      </w:r>
      <w:r w:rsidRPr="00B152FC">
        <w:rPr>
          <w:rFonts w:ascii="Poppins Light" w:hAnsi="Poppins Light" w:cs="Poppins Light"/>
          <w:b/>
          <w:bCs/>
          <w:color w:val="000000"/>
          <w:sz w:val="18"/>
          <w:szCs w:val="18"/>
        </w:rPr>
        <w:t>Mario Jandeck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. </w:t>
      </w:r>
      <w:r w:rsidRPr="00B152FC">
        <w:rPr>
          <w:rFonts w:ascii="Poppins Light" w:hAnsi="Poppins Light" w:cs="Poppins Light"/>
          <w:i/>
          <w:iCs/>
          <w:color w:val="000000"/>
          <w:sz w:val="18"/>
          <w:szCs w:val="18"/>
        </w:rPr>
        <w:t xml:space="preserve">„Unternehmen wollen Sicherheit, Resilienz und digitale Souveränität zusammendenken. Dafür braucht es Plattformen, die Übersicht schaffen statt zusätzlicher Komplexität.“ </w:t>
      </w:r>
    </w:p>
    <w:p w14:paraId="5CE8ED2E" w14:textId="77777777" w:rsidR="001948CA" w:rsidRPr="001948CA" w:rsidRDefault="001948CA" w:rsidP="001948CA">
      <w:pPr>
        <w:spacing w:before="100" w:beforeAutospacing="1" w:after="100" w:afterAutospacing="1" w:line="300" w:lineRule="atLeast"/>
        <w:outlineLvl w:val="1"/>
        <w:rPr>
          <w:rFonts w:ascii="Poppins Light" w:hAnsi="Poppins Light" w:cs="Poppins Light"/>
          <w:color w:val="000000"/>
          <w:sz w:val="21"/>
          <w:szCs w:val="21"/>
        </w:rPr>
      </w:pPr>
      <w:r w:rsidRPr="001948CA">
        <w:rPr>
          <w:rFonts w:ascii="Poppins Light" w:hAnsi="Poppins Light" w:cs="Poppins Light"/>
          <w:color w:val="000000"/>
          <w:sz w:val="21"/>
          <w:szCs w:val="21"/>
        </w:rPr>
        <w:lastRenderedPageBreak/>
        <w:t>Fachgespräche, Live-Demos und überraschende Begegnungen</w:t>
      </w:r>
    </w:p>
    <w:p w14:paraId="1C79CC9B" w14:textId="347485F6" w:rsidR="001948CA" w:rsidRPr="00B152FC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Neben den Demonstrationen bietet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zahlreiche Möglichkeiten zum Austausch mit Kunden, Partnern und Interessenten. Eine Lounge und eine Barista-Bar schaffen Raum für Gespräche in entspannter Atmosphäre. Zusätzliche Aufmerksamkeit sorgen ein Zauberer als Live-Act</w:t>
      </w:r>
      <w:r w:rsidR="00B152FC">
        <w:rPr>
          <w:rFonts w:ascii="Poppins Light" w:hAnsi="Poppins Light" w:cs="Poppins Light"/>
          <w:color w:val="000000"/>
          <w:sz w:val="18"/>
          <w:szCs w:val="18"/>
        </w:rPr>
        <w:t xml:space="preserve">, 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>sowie ein humanoider Roboter von WIANCO, die Besucher auf dem Messestand begrüßen. Das augenzwinkernde Standmotto lautet dabei:</w:t>
      </w:r>
      <w:r w:rsidR="00B152FC">
        <w:rPr>
          <w:rFonts w:ascii="Poppins Light" w:hAnsi="Poppins Light" w:cs="Poppins Light"/>
          <w:color w:val="000000"/>
          <w:sz w:val="18"/>
          <w:szCs w:val="18"/>
        </w:rPr>
        <w:t xml:space="preserve"> </w:t>
      </w:r>
      <w:r w:rsidRPr="00B152FC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„Keine Backdoors. Nur eine Bar.“ </w:t>
      </w:r>
    </w:p>
    <w:p w14:paraId="67356D80" w14:textId="77777777" w:rsidR="001948CA" w:rsidRPr="00B152FC" w:rsidRDefault="001948CA" w:rsidP="001948CA">
      <w:pPr>
        <w:spacing w:before="100" w:beforeAutospacing="1" w:after="100" w:afterAutospacing="1" w:line="300" w:lineRule="atLeast"/>
        <w:outlineLvl w:val="1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B152FC">
        <w:rPr>
          <w:rFonts w:ascii="Poppins Light" w:hAnsi="Poppins Light" w:cs="Poppins Light"/>
          <w:b/>
          <w:bCs/>
          <w:color w:val="000000"/>
          <w:sz w:val="18"/>
          <w:szCs w:val="18"/>
        </w:rPr>
        <w:t>it-</w:t>
      </w:r>
      <w:proofErr w:type="spellStart"/>
      <w:r w:rsidRPr="00B152FC">
        <w:rPr>
          <w:rFonts w:ascii="Poppins Light" w:hAnsi="Poppins Light" w:cs="Poppins Light"/>
          <w:b/>
          <w:bCs/>
          <w:color w:val="000000"/>
          <w:sz w:val="18"/>
          <w:szCs w:val="18"/>
        </w:rPr>
        <w:t>sa</w:t>
      </w:r>
      <w:proofErr w:type="spellEnd"/>
      <w:r w:rsidRPr="00B152FC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 2026: </w:t>
      </w:r>
      <w:proofErr w:type="spellStart"/>
      <w:r w:rsidRPr="00B152FC">
        <w:rPr>
          <w:rFonts w:ascii="Poppins Light" w:hAnsi="Poppins Light" w:cs="Poppins Light"/>
          <w:b/>
          <w:bCs/>
          <w:color w:val="000000"/>
          <w:sz w:val="18"/>
          <w:szCs w:val="18"/>
        </w:rPr>
        <w:t>Enginsight</w:t>
      </w:r>
      <w:proofErr w:type="spellEnd"/>
      <w:r w:rsidRPr="00B152FC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 in Halle 7A</w:t>
      </w:r>
    </w:p>
    <w:p w14:paraId="07B6AB9C" w14:textId="77777777" w:rsidR="001948CA" w:rsidRPr="001948CA" w:rsidRDefault="001948CA" w:rsidP="001948C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1948CA">
        <w:rPr>
          <w:rFonts w:ascii="Poppins Light" w:hAnsi="Poppins Light" w:cs="Poppins Light"/>
          <w:color w:val="000000"/>
          <w:sz w:val="18"/>
          <w:szCs w:val="18"/>
        </w:rPr>
        <w:t>Die it-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sa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2026 findet vom 27. bis 29. Oktober 2026 in Nürnberg statt. </w:t>
      </w:r>
      <w:proofErr w:type="spellStart"/>
      <w:r w:rsidRPr="001948C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ist in </w:t>
      </w:r>
      <w:r w:rsidRPr="00B152FC">
        <w:rPr>
          <w:rFonts w:ascii="Poppins Light" w:hAnsi="Poppins Light" w:cs="Poppins Light"/>
          <w:b/>
          <w:bCs/>
          <w:color w:val="000000"/>
          <w:sz w:val="18"/>
          <w:szCs w:val="18"/>
        </w:rPr>
        <w:t>Halle 7A an den Ständen 7A-112 und 7A-120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vertreten. Besucher können sich mit dem Gutscheincode </w:t>
      </w:r>
      <w:r w:rsidRPr="00B152FC">
        <w:rPr>
          <w:rFonts w:ascii="Poppins Light" w:hAnsi="Poppins Light" w:cs="Poppins Light"/>
          <w:b/>
          <w:bCs/>
          <w:color w:val="000000"/>
          <w:sz w:val="18"/>
          <w:szCs w:val="18"/>
        </w:rPr>
        <w:t>579905itsa26</w:t>
      </w:r>
      <w:r w:rsidRPr="001948CA">
        <w:rPr>
          <w:rFonts w:ascii="Poppins Light" w:hAnsi="Poppins Light" w:cs="Poppins Light"/>
          <w:color w:val="000000"/>
          <w:sz w:val="18"/>
          <w:szCs w:val="18"/>
        </w:rPr>
        <w:t xml:space="preserve"> ein kostenfreies Messeticket sichern.</w:t>
      </w:r>
    </w:p>
    <w:p w14:paraId="7585A257" w14:textId="0A717192" w:rsidR="001948CA" w:rsidRDefault="00B152FC" w:rsidP="00737D0A">
      <w:pPr>
        <w:spacing w:before="100" w:beforeAutospacing="1" w:after="100" w:afterAutospacing="1" w:line="300" w:lineRule="atLeast"/>
        <w:outlineLvl w:val="0"/>
        <w:rPr>
          <w:rFonts w:ascii="Poppins Light" w:hAnsi="Poppins Light" w:cs="Poppins Light"/>
          <w:color w:val="000000"/>
          <w:sz w:val="18"/>
          <w:szCs w:val="18"/>
        </w:rPr>
      </w:pPr>
      <w:r>
        <w:rPr>
          <w:rFonts w:ascii="Poppins Light" w:hAnsi="Poppins Light" w:cs="Poppins Light"/>
          <w:color w:val="000000"/>
          <w:sz w:val="18"/>
          <w:szCs w:val="18"/>
        </w:rPr>
        <w:t>Alle Informationen rund um die it-</w:t>
      </w:r>
      <w:proofErr w:type="spellStart"/>
      <w:r>
        <w:rPr>
          <w:rFonts w:ascii="Poppins Light" w:hAnsi="Poppins Light" w:cs="Poppins Light"/>
          <w:color w:val="000000"/>
          <w:sz w:val="18"/>
          <w:szCs w:val="18"/>
        </w:rPr>
        <w:t>sa</w:t>
      </w:r>
      <w:proofErr w:type="spellEnd"/>
      <w:r>
        <w:rPr>
          <w:rFonts w:ascii="Poppins Light" w:hAnsi="Poppins Light" w:cs="Poppins Light"/>
          <w:color w:val="000000"/>
          <w:sz w:val="18"/>
          <w:szCs w:val="18"/>
        </w:rPr>
        <w:t xml:space="preserve"> und das Messeticket: </w:t>
      </w:r>
      <w:hyperlink r:id="rId10" w:history="1">
        <w:r w:rsidRPr="006E552F">
          <w:rPr>
            <w:rStyle w:val="Hyperlink"/>
            <w:rFonts w:ascii="Poppins Light" w:hAnsi="Poppins Light" w:cs="Poppins Light"/>
            <w:sz w:val="18"/>
            <w:szCs w:val="18"/>
          </w:rPr>
          <w:t>https://sec.enginsight.com/itsa-2026</w:t>
        </w:r>
      </w:hyperlink>
    </w:p>
    <w:p w14:paraId="5B655BC1" w14:textId="77777777" w:rsidR="00B152FC" w:rsidRDefault="00B152FC">
      <w:pPr>
        <w:keepNext/>
        <w:spacing w:before="120" w:after="160" w:line="280" w:lineRule="auto"/>
        <w:rPr>
          <w:rFonts w:ascii="Poppins Medium" w:hAnsi="Poppins Medium" w:cs="Poppins Medium"/>
          <w:caps/>
          <w:color w:val="E91E63"/>
        </w:rPr>
      </w:pPr>
    </w:p>
    <w:p w14:paraId="4C23BA8D" w14:textId="282981CD" w:rsidR="00D26455" w:rsidRDefault="00000000">
      <w:pPr>
        <w:keepNext/>
        <w:spacing w:before="120" w:after="160" w:line="280" w:lineRule="auto"/>
      </w:pPr>
      <w:r>
        <w:rPr>
          <w:rFonts w:ascii="Poppins Medium" w:hAnsi="Poppins Medium" w:cs="Poppins Medium"/>
          <w:caps/>
          <w:color w:val="E91E63"/>
        </w:rPr>
        <w:t>Über Enginsight</w:t>
      </w:r>
    </w:p>
    <w:p w14:paraId="2F955FA2" w14:textId="6E94DC18" w:rsidR="00737D0A" w:rsidRPr="00737D0A" w:rsidRDefault="00737D0A" w:rsidP="00737D0A">
      <w:pPr>
        <w:pStyle w:val="wp-block-paragraph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Enginsight bietet eine umfassende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Cybersecurity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-Lösung für Unternehmen mit gewachsener IT-Landschaft. 2017 in Jena gegründet, ist die vollständig inhouse entwickelte Software heute bei mehreren hundert Endkunden im Einsatz, vom regional tätigen Mittelständler bis zur Unternehmensgruppe mit eigener IT-Sicherheitsorganisation. Die Enginsight-Plattform vereint Schwachstellenmanagement, Asset Monitoring, Angriffserkennung, Compliance-Analysen und automatisierte Abwehrmaßnahmen in einer einzigen Lösung. Unter dem Leitmotiv „Unsichtbares sichtbar machen“ und „Unsicheres sicher machen“ kombiniert Enginsight Transparenz, Automatisierung und eine praxisnahe Sicherheitsarchitektur, um Sicherheit </w:t>
      </w:r>
      <w:proofErr w:type="gramStart"/>
      <w:r w:rsidRPr="00737D0A">
        <w:rPr>
          <w:rFonts w:ascii="Poppins Light" w:hAnsi="Poppins Light" w:cs="Poppins Light"/>
          <w:color w:val="000000"/>
          <w:sz w:val="18"/>
          <w:szCs w:val="18"/>
        </w:rPr>
        <w:t>über wachsende</w:t>
      </w:r>
      <w:proofErr w:type="gram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Strukturen hinweg effizient und nachhaltig zu betreiben.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Cybersecurity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100 % Made in Germany.</w:t>
      </w:r>
    </w:p>
    <w:p w14:paraId="10828A4B" w14:textId="77777777" w:rsidR="00737D0A" w:rsidRPr="00737D0A" w:rsidRDefault="00737D0A" w:rsidP="00737D0A">
      <w:pPr>
        <w:pStyle w:val="wp-block-paragraph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Mehr Informationen unter: </w:t>
      </w:r>
      <w:hyperlink r:id="rId11" w:history="1">
        <w:r w:rsidRPr="00737D0A">
          <w:rPr>
            <w:rFonts w:ascii="Poppins Light" w:hAnsi="Poppins Light" w:cs="Poppins Light"/>
            <w:color w:val="000000"/>
            <w:sz w:val="18"/>
            <w:szCs w:val="18"/>
          </w:rPr>
          <w:t>www.enginsight.com</w:t>
        </w:r>
      </w:hyperlink>
      <w:r w:rsidRPr="00737D0A">
        <w:rPr>
          <w:rFonts w:ascii="Poppins Light" w:hAnsi="Poppins Light" w:cs="Poppins Light"/>
          <w:color w:val="000000"/>
          <w:sz w:val="18"/>
          <w:szCs w:val="18"/>
        </w:rPr>
        <w:t>.</w:t>
      </w:r>
    </w:p>
    <w:p w14:paraId="549B7402" w14:textId="5DB131D2" w:rsidR="00D26455" w:rsidRDefault="00000000">
      <w:pPr>
        <w:keepNext/>
        <w:spacing w:before="120" w:after="120" w:line="280" w:lineRule="auto"/>
      </w:pPr>
      <w:r>
        <w:rPr>
          <w:rFonts w:ascii="Poppins Medium" w:hAnsi="Poppins Medium" w:cs="Poppins Medium"/>
          <w:caps/>
          <w:color w:val="E91E63"/>
        </w:rPr>
        <w:t>Pressekontakt</w:t>
      </w:r>
    </w:p>
    <w:p w14:paraId="6ABE5AAC" w14:textId="77777777" w:rsidR="00D26455" w:rsidRDefault="00000000">
      <w:pPr>
        <w:spacing w:after="60" w:line="280" w:lineRule="auto"/>
      </w:pPr>
      <w:r>
        <w:rPr>
          <w:rFonts w:ascii="Poppins Light" w:hAnsi="Poppins Light" w:cs="Poppins Light"/>
          <w:b/>
          <w:bCs/>
          <w:color w:val="000000"/>
          <w:sz w:val="18"/>
          <w:szCs w:val="18"/>
        </w:rPr>
        <w:t>Sabine Kuch</w:t>
      </w:r>
    </w:p>
    <w:p w14:paraId="23A9728B" w14:textId="77777777" w:rsidR="00D26455" w:rsidRDefault="00000000">
      <w:pPr>
        <w:spacing w:after="60" w:line="280" w:lineRule="auto"/>
      </w:pPr>
      <w:r>
        <w:rPr>
          <w:rFonts w:ascii="Poppins Light" w:hAnsi="Poppins Light" w:cs="Poppins Light"/>
          <w:color w:val="000000"/>
          <w:sz w:val="18"/>
          <w:szCs w:val="18"/>
        </w:rPr>
        <w:t>Enginsight GmbH</w:t>
      </w:r>
    </w:p>
    <w:p w14:paraId="369C1437" w14:textId="77777777" w:rsidR="00D26455" w:rsidRDefault="00000000">
      <w:pPr>
        <w:spacing w:after="60" w:line="280" w:lineRule="auto"/>
      </w:pPr>
      <w:r>
        <w:rPr>
          <w:rFonts w:ascii="Poppins Light" w:hAnsi="Poppins Light" w:cs="Poppins Light"/>
          <w:color w:val="000000"/>
          <w:sz w:val="18"/>
          <w:szCs w:val="18"/>
        </w:rPr>
        <w:t>sabine.kuch[at]enginsight.com</w:t>
      </w:r>
    </w:p>
    <w:p w14:paraId="1CC05408" w14:textId="77777777" w:rsidR="00D26455" w:rsidRDefault="00000000">
      <w:pPr>
        <w:spacing w:after="320" w:line="280" w:lineRule="auto"/>
      </w:pPr>
      <w:r>
        <w:rPr>
          <w:rFonts w:ascii="Poppins Light" w:hAnsi="Poppins Light" w:cs="Poppins Light"/>
          <w:color w:val="54595F"/>
          <w:sz w:val="18"/>
          <w:szCs w:val="18"/>
        </w:rPr>
        <w:t>enginsight.com</w:t>
      </w:r>
    </w:p>
    <w:p w14:paraId="1964666A" w14:textId="77777777" w:rsidR="00D26455" w:rsidRDefault="00000000">
      <w:pPr>
        <w:pBdr>
          <w:top w:val="single" w:sz="4" w:space="4" w:color="CCCCCC"/>
        </w:pBdr>
        <w:spacing w:before="200" w:line="240" w:lineRule="auto"/>
      </w:pPr>
      <w:r>
        <w:rPr>
          <w:rFonts w:ascii="Poppins Light" w:hAnsi="Poppins Light" w:cs="Poppins Light"/>
          <w:i/>
          <w:iCs/>
          <w:color w:val="54595F"/>
          <w:sz w:val="14"/>
          <w:szCs w:val="14"/>
        </w:rPr>
        <w:t>*Wir verzichten zugunsten der Lesbarkeit auf die gendergerechte Schreibweise; weisen aber an dieser Stelle ausdrücklich darauf hin, dass „Kunde“, „Partner“ etc. alle Geschlechtsidentitäten einbezieht.</w:t>
      </w:r>
    </w:p>
    <w:sectPr w:rsidR="00D26455" w:rsidSect="0007767B">
      <w:headerReference w:type="default" r:id="rId12"/>
      <w:footerReference w:type="default" r:id="rId13"/>
      <w:pgSz w:w="11906" w:h="16838"/>
      <w:pgMar w:top="64" w:right="1418" w:bottom="1134" w:left="1418" w:header="2608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9A20C6" w14:textId="77777777" w:rsidR="005C6C3B" w:rsidRDefault="005C6C3B" w:rsidP="006F1D54">
      <w:pPr>
        <w:spacing w:line="240" w:lineRule="auto"/>
      </w:pPr>
      <w:r>
        <w:separator/>
      </w:r>
    </w:p>
  </w:endnote>
  <w:endnote w:type="continuationSeparator" w:id="0">
    <w:p w14:paraId="3EE414EA" w14:textId="77777777" w:rsidR="005C6C3B" w:rsidRDefault="005C6C3B" w:rsidP="006F1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Poppins Light" w:hAnsi="Poppins Light" w:cs="Poppins Light"/>
        <w:sz w:val="14"/>
        <w:szCs w:val="14"/>
      </w:rPr>
      <w:id w:val="887840559"/>
      <w:docPartObj>
        <w:docPartGallery w:val="Page Numbers (Bottom of Page)"/>
        <w:docPartUnique/>
      </w:docPartObj>
    </w:sdtPr>
    <w:sdtContent>
      <w:sdt>
        <w:sdtPr>
          <w:rPr>
            <w:rFonts w:ascii="Poppins Light" w:hAnsi="Poppins Light" w:cs="Poppins Light"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8B5508C" w14:textId="77777777" w:rsidR="00027E97" w:rsidRPr="009700CE" w:rsidRDefault="00027E97">
            <w:pPr>
              <w:pStyle w:val="Fuzeile"/>
              <w:jc w:val="right"/>
              <w:rPr>
                <w:rFonts w:ascii="Poppins Light" w:hAnsi="Poppins Light" w:cs="Poppins Light"/>
                <w:sz w:val="14"/>
                <w:szCs w:val="14"/>
              </w:rPr>
            </w:pPr>
            <w:r w:rsidRPr="009700CE">
              <w:rPr>
                <w:rFonts w:ascii="Poppins Light" w:hAnsi="Poppins Light" w:cs="Poppins Light"/>
                <w:sz w:val="14"/>
                <w:szCs w:val="14"/>
              </w:rPr>
              <w:t xml:space="preserve">Seite 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begin"/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instrText>PAGE</w:instrTex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separate"/>
            </w:r>
            <w:r w:rsidR="004F1FCE">
              <w:rPr>
                <w:rFonts w:ascii="Poppins Light" w:hAnsi="Poppins Light" w:cs="Poppins Light"/>
                <w:noProof/>
                <w:sz w:val="14"/>
                <w:szCs w:val="14"/>
              </w:rPr>
              <w:t>3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end"/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t xml:space="preserve"> von 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begin"/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instrText>NUMPAGES</w:instrTex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separate"/>
            </w:r>
            <w:r w:rsidR="004F1FCE">
              <w:rPr>
                <w:rFonts w:ascii="Poppins Light" w:hAnsi="Poppins Light" w:cs="Poppins Light"/>
                <w:noProof/>
                <w:sz w:val="14"/>
                <w:szCs w:val="14"/>
              </w:rPr>
              <w:t>3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end"/>
            </w:r>
          </w:p>
        </w:sdtContent>
      </w:sdt>
    </w:sdtContent>
  </w:sdt>
  <w:p w14:paraId="0EE00260" w14:textId="77777777" w:rsidR="006F1D54" w:rsidRPr="009700CE" w:rsidRDefault="006F1D54">
    <w:pPr>
      <w:pStyle w:val="Fuzeile"/>
      <w:rPr>
        <w:rFonts w:ascii="Poppins Light" w:hAnsi="Poppins Light" w:cs="Poppins Light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BA48EE" w14:textId="77777777" w:rsidR="005C6C3B" w:rsidRDefault="005C6C3B" w:rsidP="006F1D54">
      <w:pPr>
        <w:spacing w:line="240" w:lineRule="auto"/>
      </w:pPr>
      <w:r>
        <w:separator/>
      </w:r>
    </w:p>
  </w:footnote>
  <w:footnote w:type="continuationSeparator" w:id="0">
    <w:p w14:paraId="2D416F0A" w14:textId="77777777" w:rsidR="005C6C3B" w:rsidRDefault="005C6C3B" w:rsidP="006F1D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5C85C8" w14:textId="77777777" w:rsidR="00211552" w:rsidRDefault="00AC4E8E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65E7C2" wp14:editId="0EEE09A8">
          <wp:simplePos x="0" y="0"/>
          <wp:positionH relativeFrom="column">
            <wp:posOffset>-910055</wp:posOffset>
          </wp:positionH>
          <wp:positionV relativeFrom="paragraph">
            <wp:posOffset>-1675331</wp:posOffset>
          </wp:positionV>
          <wp:extent cx="7559662" cy="1069326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Grafik 3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62" cy="10693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4F7E0A"/>
    <w:multiLevelType w:val="multilevel"/>
    <w:tmpl w:val="4174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7615D9"/>
    <w:multiLevelType w:val="multilevel"/>
    <w:tmpl w:val="A188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9441845">
    <w:abstractNumId w:val="0"/>
  </w:num>
  <w:num w:numId="2" w16cid:durableId="20494827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092"/>
    <w:rsid w:val="00027E97"/>
    <w:rsid w:val="00077092"/>
    <w:rsid w:val="0007767B"/>
    <w:rsid w:val="00097833"/>
    <w:rsid w:val="000E7725"/>
    <w:rsid w:val="001948CA"/>
    <w:rsid w:val="001F2929"/>
    <w:rsid w:val="00211552"/>
    <w:rsid w:val="00277C10"/>
    <w:rsid w:val="002867A1"/>
    <w:rsid w:val="002C56DD"/>
    <w:rsid w:val="002F1181"/>
    <w:rsid w:val="00311639"/>
    <w:rsid w:val="00367C97"/>
    <w:rsid w:val="00383D06"/>
    <w:rsid w:val="0039466C"/>
    <w:rsid w:val="003A72F4"/>
    <w:rsid w:val="003D260E"/>
    <w:rsid w:val="003F3792"/>
    <w:rsid w:val="00411B0F"/>
    <w:rsid w:val="00413590"/>
    <w:rsid w:val="00433AAF"/>
    <w:rsid w:val="00446EDA"/>
    <w:rsid w:val="0045193F"/>
    <w:rsid w:val="004565D9"/>
    <w:rsid w:val="00476A0B"/>
    <w:rsid w:val="004A7617"/>
    <w:rsid w:val="004F1FCE"/>
    <w:rsid w:val="005C6C3B"/>
    <w:rsid w:val="005F14B3"/>
    <w:rsid w:val="0061547A"/>
    <w:rsid w:val="00625C7C"/>
    <w:rsid w:val="00640CC5"/>
    <w:rsid w:val="006519AA"/>
    <w:rsid w:val="00657F81"/>
    <w:rsid w:val="006C38D0"/>
    <w:rsid w:val="006D5582"/>
    <w:rsid w:val="006F1D54"/>
    <w:rsid w:val="00737D0A"/>
    <w:rsid w:val="00763A4C"/>
    <w:rsid w:val="00791B8B"/>
    <w:rsid w:val="008045FA"/>
    <w:rsid w:val="008050CF"/>
    <w:rsid w:val="00822DF8"/>
    <w:rsid w:val="00824C1F"/>
    <w:rsid w:val="00835E23"/>
    <w:rsid w:val="00883FA1"/>
    <w:rsid w:val="008B260B"/>
    <w:rsid w:val="008E3AAC"/>
    <w:rsid w:val="00912ADA"/>
    <w:rsid w:val="00917E1E"/>
    <w:rsid w:val="00954506"/>
    <w:rsid w:val="009700CE"/>
    <w:rsid w:val="009F3ABE"/>
    <w:rsid w:val="00A07A0E"/>
    <w:rsid w:val="00A214CC"/>
    <w:rsid w:val="00A35ACE"/>
    <w:rsid w:val="00A563D4"/>
    <w:rsid w:val="00A62992"/>
    <w:rsid w:val="00A71789"/>
    <w:rsid w:val="00A80709"/>
    <w:rsid w:val="00A9345D"/>
    <w:rsid w:val="00AB7AE7"/>
    <w:rsid w:val="00AC4E8E"/>
    <w:rsid w:val="00B12D2F"/>
    <w:rsid w:val="00B152FC"/>
    <w:rsid w:val="00BB439E"/>
    <w:rsid w:val="00C277D6"/>
    <w:rsid w:val="00C565AF"/>
    <w:rsid w:val="00CC3B34"/>
    <w:rsid w:val="00CD6098"/>
    <w:rsid w:val="00CF1468"/>
    <w:rsid w:val="00D13798"/>
    <w:rsid w:val="00D26455"/>
    <w:rsid w:val="00D8315B"/>
    <w:rsid w:val="00D84339"/>
    <w:rsid w:val="00DA6BD1"/>
    <w:rsid w:val="00DD1C4A"/>
    <w:rsid w:val="00E612D1"/>
    <w:rsid w:val="00EA2D68"/>
    <w:rsid w:val="00F021DE"/>
    <w:rsid w:val="00F07DB6"/>
    <w:rsid w:val="00F27987"/>
    <w:rsid w:val="00F47CB3"/>
    <w:rsid w:val="00F6105D"/>
    <w:rsid w:val="00F701CB"/>
    <w:rsid w:val="00F933BF"/>
    <w:rsid w:val="00F9412D"/>
    <w:rsid w:val="00FB4800"/>
    <w:rsid w:val="00FB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F2FF5"/>
  <w15:chartTrackingRefBased/>
  <w15:docId w15:val="{584BA701-096D-491E-9D26-82D53F82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552"/>
    <w:pPr>
      <w:spacing w:after="0" w:line="32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F1D5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F1D54"/>
  </w:style>
  <w:style w:type="paragraph" w:styleId="Fuzeile">
    <w:name w:val="footer"/>
    <w:basedOn w:val="Standard"/>
    <w:link w:val="FuzeileZchn"/>
    <w:uiPriority w:val="99"/>
    <w:unhideWhenUsed/>
    <w:rsid w:val="006F1D5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F1D54"/>
  </w:style>
  <w:style w:type="table" w:styleId="Tabellenraster">
    <w:name w:val="Table Grid"/>
    <w:basedOn w:val="NormaleTabelle"/>
    <w:uiPriority w:val="39"/>
    <w:rsid w:val="00F70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vorlage1">
    <w:name w:val="Formatvorlage1"/>
    <w:basedOn w:val="NormaleTabelle"/>
    <w:uiPriority w:val="99"/>
    <w:rsid w:val="003D260E"/>
    <w:pPr>
      <w:spacing w:after="0" w:line="240" w:lineRule="auto"/>
    </w:pPr>
    <w:rPr>
      <w:rFonts w:ascii="Roboto Light" w:hAnsi="Roboto Light"/>
    </w:rPr>
    <w:tblPr/>
  </w:style>
  <w:style w:type="table" w:styleId="Gitternetztabelle2Akzent2">
    <w:name w:val="Grid Table 2 Accent 2"/>
    <w:basedOn w:val="NormaleTabelle"/>
    <w:uiPriority w:val="47"/>
    <w:rsid w:val="003D260E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Formatvorlage2">
    <w:name w:val="Formatvorlage2"/>
    <w:basedOn w:val="Tabellendesign"/>
    <w:uiPriority w:val="99"/>
    <w:rsid w:val="00097833"/>
    <w:pPr>
      <w:spacing w:line="240" w:lineRule="auto"/>
    </w:pPr>
    <w:tblPr>
      <w:tblStyleRowBandSize w:val="1"/>
    </w:tblPr>
    <w:tblStylePr w:type="firstRow">
      <w:pPr>
        <w:jc w:val="center"/>
      </w:pPr>
      <w:rPr>
        <w:rFonts w:ascii="Roboto Medium" w:hAnsi="Roboto Medium"/>
        <w:b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18" w:space="0" w:color="FFFFFF" w:themeColor="background1"/>
          <w:tl2br w:val="nil"/>
          <w:tr2bl w:val="nil"/>
        </w:tcBorders>
        <w:shd w:val="clear" w:color="auto" w:fill="E91E63"/>
      </w:tcPr>
    </w:tblStylePr>
    <w:tblStylePr w:type="firstCol">
      <w:pPr>
        <w:jc w:val="center"/>
      </w:pPr>
      <w:tblPr/>
      <w:tcPr>
        <w:tcBorders>
          <w:right w:val="single" w:sz="18" w:space="0" w:color="54595F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9EAEB"/>
      </w:tcPr>
    </w:tblStylePr>
    <w:tblStylePr w:type="band2Horz">
      <w:pPr>
        <w:jc w:val="left"/>
      </w:pPr>
      <w:rPr>
        <w:rFonts w:ascii="Roboto Light" w:hAnsi="Roboto Light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097833"/>
    <w:pPr>
      <w:spacing w:after="0" w:line="32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34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345D"/>
    <w:rPr>
      <w:rFonts w:ascii="Segoe UI" w:eastAsia="Times New Roman" w:hAnsi="Segoe UI" w:cs="Segoe UI"/>
      <w:sz w:val="18"/>
      <w:szCs w:val="18"/>
      <w:lang w:eastAsia="de-DE"/>
    </w:rPr>
  </w:style>
  <w:style w:type="character" w:styleId="Hyperlink">
    <w:name w:val="Hyperlink"/>
    <w:basedOn w:val="Absatz-Standardschriftart"/>
    <w:uiPriority w:val="99"/>
    <w:unhideWhenUsed/>
    <w:rsid w:val="00E612D1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612D1"/>
    <w:rPr>
      <w:color w:val="605E5C"/>
      <w:shd w:val="clear" w:color="auto" w:fill="E1DFDD"/>
    </w:rPr>
  </w:style>
  <w:style w:type="paragraph" w:styleId="KeinLeerraum">
    <w:name w:val="No Spacing"/>
    <w:link w:val="KeinLeerraumZchn"/>
    <w:uiPriority w:val="1"/>
    <w:qFormat/>
    <w:rsid w:val="00211552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211552"/>
    <w:rPr>
      <w:rFonts w:eastAsiaTheme="minorEastAsia"/>
      <w:lang w:eastAsia="de-DE"/>
    </w:rPr>
  </w:style>
  <w:style w:type="paragraph" w:styleId="Listenabsatz">
    <w:name w:val="List Paragraph"/>
    <w:basedOn w:val="Standard"/>
    <w:uiPriority w:val="34"/>
    <w:qFormat/>
    <w:rsid w:val="00367C9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D5582"/>
    <w:rPr>
      <w:color w:val="605E5C"/>
      <w:shd w:val="clear" w:color="auto" w:fill="E1DFDD"/>
    </w:rPr>
  </w:style>
  <w:style w:type="paragraph" w:customStyle="1" w:styleId="wp-block-paragraph">
    <w:name w:val="wp-block-paragraph"/>
    <w:basedOn w:val="Standard"/>
    <w:rsid w:val="00737D0A"/>
    <w:pPr>
      <w:spacing w:before="100" w:beforeAutospacing="1" w:after="100" w:afterAutospacing="1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nginsight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sec.enginsight.com/itsa-202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B9B091AAB57746A4066DF9540ABAD7" ma:contentTypeVersion="13" ma:contentTypeDescription="Ein neues Dokument erstellen." ma:contentTypeScope="" ma:versionID="06ae1e7c8ef2fc41174655a9771ce1ed">
  <xsd:schema xmlns:xsd="http://www.w3.org/2001/XMLSchema" xmlns:xs="http://www.w3.org/2001/XMLSchema" xmlns:p="http://schemas.microsoft.com/office/2006/metadata/properties" xmlns:ns2="af4b70dc-15e8-4bd4-95cc-5fc6e5d806b9" xmlns:ns3="67717297-375d-4094-aebf-8df56d003c3c" targetNamespace="http://schemas.microsoft.com/office/2006/metadata/properties" ma:root="true" ma:fieldsID="e8f225c759b56d1186ad3a46a5bc45f1" ns2:_="" ns3:_="">
    <xsd:import namespace="af4b70dc-15e8-4bd4-95cc-5fc6e5d806b9"/>
    <xsd:import namespace="67717297-375d-4094-aebf-8df56d003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b70dc-15e8-4bd4-95cc-5fc6e5d80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6d8085f1-c13c-4d6c-82bb-d85fbf619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17297-375d-4094-aebf-8df56d003c3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12bdb93-8031-467a-8c10-fd7e755b6f22}" ma:internalName="TaxCatchAll" ma:showField="CatchAllData" ma:web="67717297-375d-4094-aebf-8df56d003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4b70dc-15e8-4bd4-95cc-5fc6e5d806b9">
      <Terms xmlns="http://schemas.microsoft.com/office/infopath/2007/PartnerControls"/>
    </lcf76f155ced4ddcb4097134ff3c332f>
    <TaxCatchAll xmlns="67717297-375d-4094-aebf-8df56d003c3c" xsi:nil="true"/>
  </documentManagement>
</p:properties>
</file>

<file path=customXml/itemProps1.xml><?xml version="1.0" encoding="utf-8"?>
<ds:datastoreItem xmlns:ds="http://schemas.openxmlformats.org/officeDocument/2006/customXml" ds:itemID="{0C2AAC69-1EAF-4F46-9971-8499E39732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E51C9-350A-415B-8128-8940B8483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4b70dc-15e8-4bd4-95cc-5fc6e5d806b9"/>
    <ds:schemaRef ds:uri="67717297-375d-4094-aebf-8df56d003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28498B-877F-4D24-826B-51725BB21A71}">
  <ds:schemaRefs>
    <ds:schemaRef ds:uri="http://schemas.microsoft.com/office/2006/metadata/properties"/>
    <ds:schemaRef ds:uri="http://schemas.microsoft.com/office/infopath/2007/PartnerControls"/>
    <ds:schemaRef ds:uri="af4b70dc-15e8-4bd4-95cc-5fc6e5d806b9"/>
    <ds:schemaRef ds:uri="67717297-375d-4094-aebf-8df56d003c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986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Schulze</dc:creator>
  <cp:keywords/>
  <dc:description/>
  <cp:lastModifiedBy>Sabine Kuch (Extern)</cp:lastModifiedBy>
  <cp:revision>2</cp:revision>
  <cp:lastPrinted>2026-04-30T10:41:00Z</cp:lastPrinted>
  <dcterms:created xsi:type="dcterms:W3CDTF">2026-10-05T14:43:00Z</dcterms:created>
  <dcterms:modified xsi:type="dcterms:W3CDTF">2026-10-05T14:43:00Z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0x010100D7B9B091AAB57746A4066DF9540ABAD7</vt:lpwstr>
  </property>
  <property fmtid="{D5CDD505-2E9C-101B-9397-08002B2CF9AE}" pid="3" name="MediaServiceImageTags">
    <vt:lpwstr/>
  </property>
</Properties>
</file>