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34F6" w14:textId="77777777" w:rsidR="00D26455" w:rsidRDefault="00000000">
      <w:pPr>
        <w:spacing w:after="200" w:line="280" w:lineRule="auto"/>
      </w:pPr>
      <w:r>
        <w:rPr>
          <w:rFonts w:ascii="Poppins Medium" w:hAnsi="Poppins Medium" w:cs="Poppins Medium"/>
          <w:color w:val="E91E63"/>
          <w:sz w:val="18"/>
          <w:szCs w:val="18"/>
        </w:rPr>
        <w:t>PRESSEMITTEILUNG</w:t>
      </w:r>
    </w:p>
    <w:p w14:paraId="03937761" w14:textId="23143DA5" w:rsidR="00FE4BF6" w:rsidRPr="00FE4BF6" w:rsidRDefault="00FE4BF6" w:rsidP="00FE4BF6">
      <w:pPr>
        <w:spacing w:before="100" w:beforeAutospacing="1" w:after="100" w:afterAutospacing="1" w:line="300" w:lineRule="atLeast"/>
        <w:outlineLvl w:val="2"/>
        <w:rPr>
          <w:rFonts w:ascii="Poppins Light" w:hAnsi="Poppins Light" w:cs="Poppins Light"/>
          <w:caps/>
          <w:color w:val="000000"/>
          <w:sz w:val="30"/>
          <w:szCs w:val="30"/>
        </w:rPr>
      </w:pPr>
      <w:proofErr w:type="spellStart"/>
      <w:r w:rsidRPr="00FE4BF6">
        <w:rPr>
          <w:rFonts w:ascii="Poppins" w:hAnsi="Poppins" w:cs="Poppins"/>
          <w:sz w:val="36"/>
          <w:szCs w:val="36"/>
        </w:rPr>
        <w:t>Enginsight</w:t>
      </w:r>
      <w:proofErr w:type="spellEnd"/>
      <w:r w:rsidRPr="00FE4BF6">
        <w:rPr>
          <w:rFonts w:ascii="Poppins" w:hAnsi="Poppins" w:cs="Poppins"/>
          <w:sz w:val="36"/>
          <w:szCs w:val="36"/>
        </w:rPr>
        <w:t xml:space="preserve"> auf der ALSO Channel </w:t>
      </w:r>
      <w:proofErr w:type="spellStart"/>
      <w:r w:rsidRPr="00FE4BF6">
        <w:rPr>
          <w:rFonts w:ascii="Poppins" w:hAnsi="Poppins" w:cs="Poppins"/>
          <w:sz w:val="36"/>
          <w:szCs w:val="36"/>
        </w:rPr>
        <w:t>Trends+Visions</w:t>
      </w:r>
      <w:proofErr w:type="spellEnd"/>
      <w:r w:rsidRPr="00FE4BF6">
        <w:rPr>
          <w:rFonts w:ascii="Poppins" w:hAnsi="Poppins" w:cs="Poppins"/>
          <w:sz w:val="36"/>
          <w:szCs w:val="36"/>
        </w:rPr>
        <w:t xml:space="preserve"> 2026</w:t>
      </w:r>
      <w:r>
        <w:rPr>
          <w:rFonts w:ascii="Poppins" w:hAnsi="Poppins" w:cs="Poppins"/>
          <w:sz w:val="36"/>
          <w:szCs w:val="36"/>
        </w:rPr>
        <w:t xml:space="preserve"> - </w:t>
      </w:r>
      <w:r w:rsidRPr="00FE4BF6">
        <w:rPr>
          <w:rFonts w:ascii="Poppins" w:hAnsi="Poppins" w:cs="Poppins"/>
          <w:sz w:val="36"/>
          <w:szCs w:val="36"/>
        </w:rPr>
        <w:t>MDR und digitale Souveränität als zentrale Themen für den IT</w:t>
      </w:r>
      <w:r w:rsidRPr="00FE4BF6">
        <w:rPr>
          <w:rFonts w:ascii="Poppins" w:hAnsi="Poppins" w:cs="Poppins"/>
          <w:sz w:val="36"/>
          <w:szCs w:val="36"/>
        </w:rPr>
        <w:noBreakHyphen/>
        <w:t>Channel</w:t>
      </w:r>
    </w:p>
    <w:p w14:paraId="470E4519" w14:textId="77777777" w:rsidR="00FE4BF6" w:rsidRPr="00FE4BF6" w:rsidRDefault="00383D06" w:rsidP="00FE4BF6">
      <w:pPr>
        <w:spacing w:before="100" w:beforeAutospacing="1" w:after="100" w:afterAutospacing="1" w:line="300" w:lineRule="atLeast"/>
        <w:rPr>
          <w:rFonts w:ascii="Poppins Light" w:hAnsi="Poppins Light" w:cs="Poppins Light"/>
          <w:color w:val="000000"/>
          <w:sz w:val="18"/>
          <w:szCs w:val="18"/>
        </w:rPr>
      </w:pPr>
      <w:r>
        <w:rPr>
          <w:rFonts w:ascii="Poppins Light" w:hAnsi="Poppins Light" w:cs="Poppins Light"/>
          <w:b/>
          <w:bCs/>
          <w:color w:val="1A1A1A"/>
          <w:sz w:val="18"/>
          <w:szCs w:val="18"/>
        </w:rPr>
        <w:t>Jena, 2</w:t>
      </w:r>
      <w:r w:rsidR="00FE4BF6">
        <w:rPr>
          <w:rFonts w:ascii="Poppins Light" w:hAnsi="Poppins Light" w:cs="Poppins Light"/>
          <w:b/>
          <w:bCs/>
          <w:color w:val="1A1A1A"/>
          <w:sz w:val="18"/>
          <w:szCs w:val="18"/>
        </w:rPr>
        <w:t>8</w:t>
      </w:r>
      <w:r>
        <w:rPr>
          <w:rFonts w:ascii="Poppins Light" w:hAnsi="Poppins Light" w:cs="Poppins Light"/>
          <w:b/>
          <w:bCs/>
          <w:color w:val="1A1A1A"/>
          <w:sz w:val="18"/>
          <w:szCs w:val="18"/>
        </w:rPr>
        <w:t xml:space="preserve">. </w:t>
      </w:r>
      <w:r w:rsidR="0039466C">
        <w:rPr>
          <w:rFonts w:ascii="Poppins Light" w:hAnsi="Poppins Light" w:cs="Poppins Light"/>
          <w:b/>
          <w:bCs/>
          <w:color w:val="1A1A1A"/>
          <w:sz w:val="18"/>
          <w:szCs w:val="18"/>
        </w:rPr>
        <w:t>Mai</w:t>
      </w:r>
      <w:r>
        <w:rPr>
          <w:rFonts w:ascii="Poppins Light" w:hAnsi="Poppins Light" w:cs="Poppins Light"/>
          <w:b/>
          <w:bCs/>
          <w:color w:val="1A1A1A"/>
          <w:sz w:val="18"/>
          <w:szCs w:val="18"/>
        </w:rPr>
        <w:t xml:space="preserve"> 2026 –</w:t>
      </w:r>
      <w:r w:rsidR="0039466C">
        <w:rPr>
          <w:rFonts w:ascii="Poppins Light" w:hAnsi="Poppins Light" w:cs="Poppins Light"/>
          <w:b/>
          <w:bCs/>
          <w:color w:val="1A1A1A"/>
          <w:sz w:val="18"/>
          <w:szCs w:val="18"/>
        </w:rPr>
        <w:t xml:space="preserve"> </w:t>
      </w:r>
      <w:r w:rsidR="00FE4BF6" w:rsidRPr="00FE4BF6">
        <w:rPr>
          <w:rFonts w:ascii="Poppins Light" w:hAnsi="Poppins Light" w:cs="Poppins Light"/>
          <w:color w:val="000000"/>
          <w:sz w:val="18"/>
          <w:szCs w:val="18"/>
        </w:rPr>
        <w:t xml:space="preserve">Am 29. Mai 2026 findet die Channel </w:t>
      </w:r>
      <w:proofErr w:type="spellStart"/>
      <w:r w:rsidR="00FE4BF6" w:rsidRPr="00FE4BF6">
        <w:rPr>
          <w:rFonts w:ascii="Poppins Light" w:hAnsi="Poppins Light" w:cs="Poppins Light"/>
          <w:color w:val="000000"/>
          <w:sz w:val="18"/>
          <w:szCs w:val="18"/>
        </w:rPr>
        <w:t>Trends+Visions</w:t>
      </w:r>
      <w:proofErr w:type="spellEnd"/>
      <w:r w:rsidR="00FE4BF6" w:rsidRPr="00FE4BF6">
        <w:rPr>
          <w:rFonts w:ascii="Poppins Light" w:hAnsi="Poppins Light" w:cs="Poppins Light"/>
          <w:color w:val="000000"/>
          <w:sz w:val="18"/>
          <w:szCs w:val="18"/>
        </w:rPr>
        <w:t xml:space="preserve"> (CTV) im </w:t>
      </w:r>
      <w:proofErr w:type="spellStart"/>
      <w:r w:rsidR="00FE4BF6" w:rsidRPr="00FE4BF6">
        <w:rPr>
          <w:rFonts w:ascii="Poppins Light" w:hAnsi="Poppins Light" w:cs="Poppins Light"/>
          <w:color w:val="000000"/>
          <w:sz w:val="18"/>
          <w:szCs w:val="18"/>
        </w:rPr>
        <w:t>Confex</w:t>
      </w:r>
      <w:proofErr w:type="spellEnd"/>
      <w:r w:rsidR="00FE4BF6" w:rsidRPr="00FE4BF6">
        <w:rPr>
          <w:rFonts w:ascii="Poppins Light" w:hAnsi="Poppins Light" w:cs="Poppins Light"/>
          <w:color w:val="000000"/>
          <w:sz w:val="18"/>
          <w:szCs w:val="18"/>
        </w:rPr>
        <w:t xml:space="preserve"> in Köln statt. Unter dem Motto „Next Generation“ richtet ALSO seine zentrale Hausmesse auf aktuelle Entwicklungen in den Bereichen </w:t>
      </w:r>
      <w:proofErr w:type="spellStart"/>
      <w:r w:rsidR="00FE4BF6" w:rsidRPr="00FE4BF6">
        <w:rPr>
          <w:rFonts w:ascii="Poppins Light" w:hAnsi="Poppins Light" w:cs="Poppins Light"/>
          <w:color w:val="000000"/>
          <w:sz w:val="18"/>
          <w:szCs w:val="18"/>
        </w:rPr>
        <w:t>Cybersecurity</w:t>
      </w:r>
      <w:proofErr w:type="spellEnd"/>
      <w:r w:rsidR="00FE4BF6" w:rsidRPr="00FE4BF6">
        <w:rPr>
          <w:rFonts w:ascii="Poppins Light" w:hAnsi="Poppins Light" w:cs="Poppins Light"/>
          <w:color w:val="000000"/>
          <w:sz w:val="18"/>
          <w:szCs w:val="18"/>
        </w:rPr>
        <w:t xml:space="preserve">, Künstliche Intelligenz (KI) und Internet </w:t>
      </w:r>
      <w:proofErr w:type="spellStart"/>
      <w:r w:rsidR="00FE4BF6" w:rsidRPr="00FE4BF6">
        <w:rPr>
          <w:rFonts w:ascii="Poppins Light" w:hAnsi="Poppins Light" w:cs="Poppins Light"/>
          <w:color w:val="000000"/>
          <w:sz w:val="18"/>
          <w:szCs w:val="18"/>
        </w:rPr>
        <w:t>of</w:t>
      </w:r>
      <w:proofErr w:type="spellEnd"/>
      <w:r w:rsidR="00FE4BF6" w:rsidRPr="00FE4BF6">
        <w:rPr>
          <w:rFonts w:ascii="Poppins Light" w:hAnsi="Poppins Light" w:cs="Poppins Light"/>
          <w:color w:val="000000"/>
          <w:sz w:val="18"/>
          <w:szCs w:val="18"/>
        </w:rPr>
        <w:t xml:space="preserve"> Things (IoT) aus. Ziel der Veranstaltung ist es, technologische Trends einzuordnen und deren Bedeutung für Geschäftsmodelle im IT</w:t>
      </w:r>
      <w:r w:rsidR="00FE4BF6" w:rsidRPr="00FE4BF6">
        <w:rPr>
          <w:rFonts w:ascii="Poppins Light" w:hAnsi="Poppins Light" w:cs="Poppins Light"/>
          <w:color w:val="000000"/>
          <w:sz w:val="18"/>
          <w:szCs w:val="18"/>
        </w:rPr>
        <w:noBreakHyphen/>
        <w:t>Channel zu diskutieren.</w:t>
      </w:r>
    </w:p>
    <w:p w14:paraId="097DB324" w14:textId="77777777" w:rsidR="00FE4BF6" w:rsidRPr="00FE4BF6" w:rsidRDefault="00FE4BF6" w:rsidP="00FE4BF6">
      <w:pPr>
        <w:spacing w:before="100" w:beforeAutospacing="1" w:after="100" w:afterAutospacing="1" w:line="300" w:lineRule="atLeast"/>
        <w:rPr>
          <w:rFonts w:ascii="Poppins Light" w:hAnsi="Poppins Light" w:cs="Poppins Light"/>
          <w:color w:val="000000"/>
          <w:sz w:val="18"/>
          <w:szCs w:val="18"/>
        </w:rPr>
      </w:pPr>
      <w:proofErr w:type="spellStart"/>
      <w:r w:rsidRPr="00FE4BF6">
        <w:rPr>
          <w:rFonts w:ascii="Poppins Light" w:hAnsi="Poppins Light" w:cs="Poppins Light"/>
          <w:color w:val="000000"/>
          <w:sz w:val="18"/>
          <w:szCs w:val="18"/>
        </w:rPr>
        <w:t>Enginsight</w:t>
      </w:r>
      <w:proofErr w:type="spellEnd"/>
      <w:r w:rsidRPr="00FE4BF6">
        <w:rPr>
          <w:rFonts w:ascii="Poppins Light" w:hAnsi="Poppins Light" w:cs="Poppins Light"/>
          <w:color w:val="000000"/>
          <w:sz w:val="18"/>
          <w:szCs w:val="18"/>
        </w:rPr>
        <w:t xml:space="preserve">, Anbieter einer in Deutschland entwickelten </w:t>
      </w:r>
      <w:proofErr w:type="spellStart"/>
      <w:r w:rsidRPr="00FE4BF6">
        <w:rPr>
          <w:rFonts w:ascii="Poppins Light" w:hAnsi="Poppins Light" w:cs="Poppins Light"/>
          <w:color w:val="000000"/>
          <w:sz w:val="18"/>
          <w:szCs w:val="18"/>
        </w:rPr>
        <w:t>Cybersecurity</w:t>
      </w:r>
      <w:proofErr w:type="spellEnd"/>
      <w:r w:rsidRPr="00FE4BF6">
        <w:rPr>
          <w:rFonts w:ascii="Poppins Light" w:hAnsi="Poppins Light" w:cs="Poppins Light"/>
          <w:color w:val="000000"/>
          <w:sz w:val="18"/>
          <w:szCs w:val="18"/>
        </w:rPr>
        <w:noBreakHyphen/>
        <w:t xml:space="preserve">Plattform für mittelständische Unternehmen, ist im Rahmen der Partnerschaft mit ALSO auf der CTV vertreten. </w:t>
      </w:r>
      <w:proofErr w:type="spellStart"/>
      <w:r w:rsidRPr="00FE4BF6">
        <w:rPr>
          <w:rFonts w:ascii="Poppins Light" w:hAnsi="Poppins Light" w:cs="Poppins Light"/>
          <w:color w:val="000000"/>
          <w:sz w:val="18"/>
          <w:szCs w:val="18"/>
        </w:rPr>
        <w:t>Managed</w:t>
      </w:r>
      <w:proofErr w:type="spellEnd"/>
      <w:r w:rsidRPr="00FE4BF6">
        <w:rPr>
          <w:rFonts w:ascii="Poppins Light" w:hAnsi="Poppins Light" w:cs="Poppins Light"/>
          <w:color w:val="000000"/>
          <w:sz w:val="18"/>
          <w:szCs w:val="18"/>
        </w:rPr>
        <w:t xml:space="preserve"> </w:t>
      </w:r>
      <w:proofErr w:type="spellStart"/>
      <w:r w:rsidRPr="00FE4BF6">
        <w:rPr>
          <w:rFonts w:ascii="Poppins Light" w:hAnsi="Poppins Light" w:cs="Poppins Light"/>
          <w:color w:val="000000"/>
          <w:sz w:val="18"/>
          <w:szCs w:val="18"/>
        </w:rPr>
        <w:t>Detection</w:t>
      </w:r>
      <w:proofErr w:type="spellEnd"/>
      <w:r w:rsidRPr="00FE4BF6">
        <w:rPr>
          <w:rFonts w:ascii="Poppins Light" w:hAnsi="Poppins Light" w:cs="Poppins Light"/>
          <w:color w:val="000000"/>
          <w:sz w:val="18"/>
          <w:szCs w:val="18"/>
        </w:rPr>
        <w:t xml:space="preserve"> and Response (MDR) sowie digitale Souveränität zählen dabei zu den derzeit zentralen Themen von </w:t>
      </w:r>
      <w:proofErr w:type="spellStart"/>
      <w:r w:rsidRPr="00FE4BF6">
        <w:rPr>
          <w:rFonts w:ascii="Poppins Light" w:hAnsi="Poppins Light" w:cs="Poppins Light"/>
          <w:color w:val="000000"/>
          <w:sz w:val="18"/>
          <w:szCs w:val="18"/>
        </w:rPr>
        <w:t>Enginsight</w:t>
      </w:r>
      <w:proofErr w:type="spellEnd"/>
      <w:r w:rsidRPr="00FE4BF6">
        <w:rPr>
          <w:rFonts w:ascii="Poppins Light" w:hAnsi="Poppins Light" w:cs="Poppins Light"/>
          <w:color w:val="000000"/>
          <w:sz w:val="18"/>
          <w:szCs w:val="18"/>
        </w:rPr>
        <w:t>. Beide adressieren aktuelle Herausforderungen, mit denen sich Unternehmen und IT</w:t>
      </w:r>
      <w:r w:rsidRPr="00FE4BF6">
        <w:rPr>
          <w:rFonts w:ascii="Poppins Light" w:hAnsi="Poppins Light" w:cs="Poppins Light"/>
          <w:color w:val="000000"/>
          <w:sz w:val="18"/>
          <w:szCs w:val="18"/>
        </w:rPr>
        <w:noBreakHyphen/>
        <w:t>Dienstleister gleichermaßen konfrontiert sehen.</w:t>
      </w:r>
    </w:p>
    <w:p w14:paraId="1C922E45" w14:textId="061EE99B" w:rsidR="00383D06" w:rsidRPr="00383D06" w:rsidRDefault="00FE4BF6" w:rsidP="00FE4BF6">
      <w:pPr>
        <w:spacing w:before="100" w:beforeAutospacing="1" w:after="100" w:afterAutospacing="1" w:line="300" w:lineRule="atLeast"/>
        <w:outlineLvl w:val="2"/>
        <w:rPr>
          <w:rFonts w:ascii="Poppins Light" w:hAnsi="Poppins Light" w:cs="Poppins Light"/>
          <w:caps/>
          <w:color w:val="000000"/>
          <w:sz w:val="30"/>
          <w:szCs w:val="30"/>
        </w:rPr>
      </w:pPr>
      <w:r w:rsidRPr="00FE4BF6">
        <w:rPr>
          <w:rFonts w:ascii="Poppins Light" w:hAnsi="Poppins Light" w:cs="Poppins Light"/>
          <w:caps/>
          <w:color w:val="000000"/>
          <w:sz w:val="30"/>
          <w:szCs w:val="30"/>
        </w:rPr>
        <w:t>MDR: Relevanz für KMU</w:t>
      </w:r>
    </w:p>
    <w:p w14:paraId="099823AA" w14:textId="77777777" w:rsidR="00FE4BF6" w:rsidRPr="00FE4BF6" w:rsidRDefault="00FE4BF6" w:rsidP="00FE4BF6">
      <w:pPr>
        <w:spacing w:before="100" w:beforeAutospacing="1" w:after="100" w:afterAutospacing="1" w:line="300" w:lineRule="atLeast"/>
        <w:rPr>
          <w:rFonts w:ascii="Poppins Light" w:hAnsi="Poppins Light" w:cs="Poppins Light"/>
          <w:color w:val="000000"/>
          <w:sz w:val="18"/>
          <w:szCs w:val="18"/>
        </w:rPr>
      </w:pPr>
      <w:r w:rsidRPr="00FE4BF6">
        <w:rPr>
          <w:rFonts w:ascii="Poppins Light" w:hAnsi="Poppins Light" w:cs="Poppins Light"/>
          <w:color w:val="000000"/>
          <w:sz w:val="18"/>
          <w:szCs w:val="18"/>
        </w:rPr>
        <w:t>Die Bedrohungslage im Cyberraum verschärft sich kontinuierlich. Gleichzeitig fehlt vielen kleinen und mittleren Unternehmen die Möglichkeit, Sicherheitsvorfälle rund um die Uhr eigenständig zu erkennen und darauf zu reagieren. MDR</w:t>
      </w:r>
      <w:r w:rsidRPr="00FE4BF6">
        <w:rPr>
          <w:rFonts w:ascii="Poppins Light" w:hAnsi="Poppins Light" w:cs="Poppins Light"/>
          <w:color w:val="000000"/>
          <w:sz w:val="18"/>
          <w:szCs w:val="18"/>
        </w:rPr>
        <w:noBreakHyphen/>
        <w:t>Services setzen genau an dieser Stelle an, indem sie technische Erkennung mit menschlicher Analyse und strukturierter Reaktion verbinden.</w:t>
      </w:r>
    </w:p>
    <w:p w14:paraId="2C9CF758" w14:textId="77777777" w:rsidR="00FE4BF6" w:rsidRPr="00FE4BF6" w:rsidRDefault="00FE4BF6" w:rsidP="00FE4BF6">
      <w:pPr>
        <w:spacing w:before="100" w:beforeAutospacing="1" w:after="100" w:afterAutospacing="1" w:line="300" w:lineRule="atLeast"/>
        <w:rPr>
          <w:rFonts w:ascii="Poppins Light" w:hAnsi="Poppins Light" w:cs="Poppins Light"/>
          <w:color w:val="000000"/>
          <w:sz w:val="18"/>
          <w:szCs w:val="18"/>
        </w:rPr>
      </w:pPr>
      <w:proofErr w:type="spellStart"/>
      <w:r w:rsidRPr="00FE4BF6">
        <w:rPr>
          <w:rFonts w:ascii="Poppins Light" w:hAnsi="Poppins Light" w:cs="Poppins Light"/>
          <w:color w:val="000000"/>
          <w:sz w:val="18"/>
          <w:szCs w:val="18"/>
        </w:rPr>
        <w:t>Enginsight</w:t>
      </w:r>
      <w:proofErr w:type="spellEnd"/>
      <w:r w:rsidRPr="00FE4BF6">
        <w:rPr>
          <w:rFonts w:ascii="Poppins Light" w:hAnsi="Poppins Light" w:cs="Poppins Light"/>
          <w:color w:val="000000"/>
          <w:sz w:val="18"/>
          <w:szCs w:val="18"/>
        </w:rPr>
        <w:t xml:space="preserve"> bietet seit 2024 MDR</w:t>
      </w:r>
      <w:r w:rsidRPr="00FE4BF6">
        <w:rPr>
          <w:rFonts w:ascii="Poppins Light" w:hAnsi="Poppins Light" w:cs="Poppins Light"/>
          <w:color w:val="000000"/>
          <w:sz w:val="18"/>
          <w:szCs w:val="18"/>
        </w:rPr>
        <w:noBreakHyphen/>
        <w:t xml:space="preserve">Leistungen auf Basis der </w:t>
      </w:r>
      <w:proofErr w:type="spellStart"/>
      <w:r w:rsidRPr="00FE4BF6">
        <w:rPr>
          <w:rFonts w:ascii="Poppins Light" w:hAnsi="Poppins Light" w:cs="Poppins Light"/>
          <w:color w:val="000000"/>
          <w:sz w:val="18"/>
          <w:szCs w:val="18"/>
        </w:rPr>
        <w:t>Enginsight</w:t>
      </w:r>
      <w:proofErr w:type="spellEnd"/>
      <w:r w:rsidRPr="00FE4BF6">
        <w:rPr>
          <w:rFonts w:ascii="Poppins Light" w:hAnsi="Poppins Light" w:cs="Poppins Light"/>
          <w:color w:val="000000"/>
          <w:sz w:val="18"/>
          <w:szCs w:val="18"/>
        </w:rPr>
        <w:noBreakHyphen/>
        <w:t>Security</w:t>
      </w:r>
      <w:r w:rsidRPr="00FE4BF6">
        <w:rPr>
          <w:rFonts w:ascii="Poppins Light" w:hAnsi="Poppins Light" w:cs="Poppins Light"/>
          <w:color w:val="000000"/>
          <w:sz w:val="18"/>
          <w:szCs w:val="18"/>
        </w:rPr>
        <w:noBreakHyphen/>
        <w:t xml:space="preserve">Plattform, inklusive SIEM, an. Ein dediziertes SOC-Team überwacht Bedrohungen, bewertet diese, und reagiert auf Wunsch auch direkt. Für Systemhäuser und </w:t>
      </w:r>
      <w:proofErr w:type="spellStart"/>
      <w:r w:rsidRPr="00FE4BF6">
        <w:rPr>
          <w:rFonts w:ascii="Poppins Light" w:hAnsi="Poppins Light" w:cs="Poppins Light"/>
          <w:color w:val="000000"/>
          <w:sz w:val="18"/>
          <w:szCs w:val="18"/>
        </w:rPr>
        <w:t>Managed</w:t>
      </w:r>
      <w:proofErr w:type="spellEnd"/>
      <w:r w:rsidRPr="00FE4BF6">
        <w:rPr>
          <w:rFonts w:ascii="Poppins Light" w:hAnsi="Poppins Light" w:cs="Poppins Light"/>
          <w:color w:val="000000"/>
          <w:sz w:val="18"/>
          <w:szCs w:val="18"/>
        </w:rPr>
        <w:t xml:space="preserve"> Service Provider eröffnet sich damit die Möglichkeit, ihr </w:t>
      </w:r>
      <w:proofErr w:type="gramStart"/>
      <w:r w:rsidRPr="00FE4BF6">
        <w:rPr>
          <w:rFonts w:ascii="Poppins Light" w:hAnsi="Poppins Light" w:cs="Poppins Light"/>
          <w:color w:val="000000"/>
          <w:sz w:val="18"/>
          <w:szCs w:val="18"/>
        </w:rPr>
        <w:t>Portfolio</w:t>
      </w:r>
      <w:proofErr w:type="gramEnd"/>
      <w:r w:rsidRPr="00FE4BF6">
        <w:rPr>
          <w:rFonts w:ascii="Poppins Light" w:hAnsi="Poppins Light" w:cs="Poppins Light"/>
          <w:color w:val="000000"/>
          <w:sz w:val="18"/>
          <w:szCs w:val="18"/>
        </w:rPr>
        <w:t xml:space="preserve"> um skalierbare Sicherheitsservices zu erweitern, ohne ein eigenes Security </w:t>
      </w:r>
      <w:proofErr w:type="spellStart"/>
      <w:r w:rsidRPr="00FE4BF6">
        <w:rPr>
          <w:rFonts w:ascii="Poppins Light" w:hAnsi="Poppins Light" w:cs="Poppins Light"/>
          <w:color w:val="000000"/>
          <w:sz w:val="18"/>
          <w:szCs w:val="18"/>
        </w:rPr>
        <w:t>Operations</w:t>
      </w:r>
      <w:proofErr w:type="spellEnd"/>
      <w:r w:rsidRPr="00FE4BF6">
        <w:rPr>
          <w:rFonts w:ascii="Poppins Light" w:hAnsi="Poppins Light" w:cs="Poppins Light"/>
          <w:color w:val="000000"/>
          <w:sz w:val="18"/>
          <w:szCs w:val="18"/>
        </w:rPr>
        <w:t xml:space="preserve"> Center aufbauen zu müssen. MDR wird so zu einem Ansatz, mit dem sich wiederkehrende Erlöse erzielen und Kundenbeziehungen langfristig festigen lassen.</w:t>
      </w:r>
    </w:p>
    <w:p w14:paraId="09EB4F28" w14:textId="000BE7AB" w:rsidR="00383D06" w:rsidRDefault="00FE4BF6" w:rsidP="00FE4BF6">
      <w:pPr>
        <w:spacing w:before="100" w:beforeAutospacing="1" w:after="100" w:afterAutospacing="1" w:line="300" w:lineRule="atLeast"/>
        <w:outlineLvl w:val="2"/>
        <w:rPr>
          <w:rFonts w:ascii="Poppins Light" w:hAnsi="Poppins Light" w:cs="Poppins Light"/>
          <w:color w:val="000000"/>
          <w:sz w:val="18"/>
          <w:szCs w:val="18"/>
        </w:rPr>
      </w:pPr>
      <w:r w:rsidRPr="00FE4BF6">
        <w:rPr>
          <w:rFonts w:ascii="Poppins Light" w:hAnsi="Poppins Light" w:cs="Poppins Light"/>
          <w:caps/>
          <w:color w:val="000000"/>
          <w:sz w:val="30"/>
          <w:szCs w:val="30"/>
        </w:rPr>
        <w:t xml:space="preserve">Digitale Souveränität </w:t>
      </w:r>
      <w:r>
        <w:rPr>
          <w:rFonts w:ascii="Poppins Light" w:hAnsi="Poppins Light" w:cs="Poppins Light"/>
          <w:caps/>
          <w:color w:val="000000"/>
          <w:sz w:val="30"/>
          <w:szCs w:val="30"/>
        </w:rPr>
        <w:t xml:space="preserve">ALS </w:t>
      </w:r>
      <w:r w:rsidRPr="00FE4BF6">
        <w:rPr>
          <w:rFonts w:ascii="Poppins Light" w:hAnsi="Poppins Light" w:cs="Poppins Light"/>
          <w:caps/>
          <w:color w:val="000000"/>
          <w:sz w:val="30"/>
          <w:szCs w:val="30"/>
        </w:rPr>
        <w:t xml:space="preserve">wachsendes </w:t>
      </w:r>
      <w:r>
        <w:rPr>
          <w:rFonts w:ascii="Poppins Light" w:hAnsi="Poppins Light" w:cs="Poppins Light"/>
          <w:caps/>
          <w:color w:val="000000"/>
          <w:sz w:val="30"/>
          <w:szCs w:val="30"/>
        </w:rPr>
        <w:t>E</w:t>
      </w:r>
      <w:r w:rsidRPr="00FE4BF6">
        <w:rPr>
          <w:rFonts w:ascii="Poppins Light" w:hAnsi="Poppins Light" w:cs="Poppins Light"/>
          <w:caps/>
          <w:color w:val="000000"/>
          <w:sz w:val="30"/>
          <w:szCs w:val="30"/>
        </w:rPr>
        <w:t>ntscheidungskriterium</w:t>
      </w:r>
      <w:r w:rsidR="00383D06" w:rsidRPr="00383D06">
        <w:rPr>
          <w:rFonts w:ascii="Poppins Light" w:hAnsi="Poppins Light" w:cs="Poppins Light"/>
          <w:color w:val="000000"/>
          <w:sz w:val="18"/>
          <w:szCs w:val="18"/>
        </w:rPr>
        <w:t xml:space="preserve"> </w:t>
      </w:r>
    </w:p>
    <w:p w14:paraId="4CF4EBF3" w14:textId="77777777" w:rsidR="00FE4BF6" w:rsidRPr="00FE4BF6" w:rsidRDefault="00FE4BF6" w:rsidP="00FE4BF6">
      <w:pPr>
        <w:spacing w:before="100" w:beforeAutospacing="1" w:after="100" w:afterAutospacing="1" w:line="300" w:lineRule="atLeast"/>
        <w:rPr>
          <w:rFonts w:ascii="Poppins Light" w:hAnsi="Poppins Light" w:cs="Poppins Light"/>
          <w:color w:val="000000"/>
          <w:sz w:val="18"/>
          <w:szCs w:val="18"/>
        </w:rPr>
      </w:pPr>
      <w:r w:rsidRPr="00FE4BF6">
        <w:rPr>
          <w:rFonts w:ascii="Poppins Light" w:hAnsi="Poppins Light" w:cs="Poppins Light"/>
          <w:color w:val="000000"/>
          <w:sz w:val="18"/>
          <w:szCs w:val="18"/>
        </w:rPr>
        <w:t>Neben operativen Sicherheitsfragen gewinnt digitale Souveränität zunehmend an Bedeutung. Unternehmen hinterfragen stärker, wo Sicherheitslösungen entwickelt werden, wer Zugriff auf Daten hat und wie transparent Sicherheitsprozesse gestaltet sind – nicht zuletzt vor dem Hintergrund regulatorischer Anforderungen und geopolitischer Entwicklungen.</w:t>
      </w:r>
    </w:p>
    <w:p w14:paraId="6B0CB4CC" w14:textId="77777777" w:rsidR="00FE4BF6" w:rsidRPr="00FE4BF6" w:rsidRDefault="00FE4BF6" w:rsidP="00FE4BF6">
      <w:pPr>
        <w:spacing w:before="100" w:beforeAutospacing="1" w:after="100" w:afterAutospacing="1" w:line="300" w:lineRule="atLeast"/>
        <w:rPr>
          <w:rFonts w:ascii="Poppins Light" w:hAnsi="Poppins Light" w:cs="Poppins Light"/>
          <w:color w:val="000000"/>
          <w:sz w:val="18"/>
          <w:szCs w:val="18"/>
        </w:rPr>
      </w:pPr>
      <w:proofErr w:type="spellStart"/>
      <w:r w:rsidRPr="00FE4BF6">
        <w:rPr>
          <w:rFonts w:ascii="Poppins Light" w:hAnsi="Poppins Light" w:cs="Poppins Light"/>
          <w:color w:val="000000"/>
          <w:sz w:val="18"/>
          <w:szCs w:val="18"/>
        </w:rPr>
        <w:lastRenderedPageBreak/>
        <w:t>Enginsight</w:t>
      </w:r>
      <w:proofErr w:type="spellEnd"/>
      <w:r w:rsidRPr="00FE4BF6">
        <w:rPr>
          <w:rFonts w:ascii="Poppins Light" w:hAnsi="Poppins Light" w:cs="Poppins Light"/>
          <w:color w:val="000000"/>
          <w:sz w:val="18"/>
          <w:szCs w:val="18"/>
        </w:rPr>
        <w:t xml:space="preserve"> entwickelt und betreibt seine Plattform vollständig in Deutschland und richtet sie konsequent an europäischen Datenschutz</w:t>
      </w:r>
      <w:r w:rsidRPr="00FE4BF6">
        <w:rPr>
          <w:rFonts w:ascii="Poppins Light" w:hAnsi="Poppins Light" w:cs="Poppins Light"/>
          <w:color w:val="000000"/>
          <w:sz w:val="18"/>
          <w:szCs w:val="18"/>
        </w:rPr>
        <w:noBreakHyphen/>
        <w:t xml:space="preserve"> und Compliance</w:t>
      </w:r>
      <w:r w:rsidRPr="00FE4BF6">
        <w:rPr>
          <w:rFonts w:ascii="Poppins Light" w:hAnsi="Poppins Light" w:cs="Poppins Light"/>
          <w:color w:val="000000"/>
          <w:sz w:val="18"/>
          <w:szCs w:val="18"/>
        </w:rPr>
        <w:noBreakHyphen/>
        <w:t>Anforderungen aus. Für Partner im IT</w:t>
      </w:r>
      <w:r w:rsidRPr="00FE4BF6">
        <w:rPr>
          <w:rFonts w:ascii="Poppins Light" w:hAnsi="Poppins Light" w:cs="Poppins Light"/>
          <w:color w:val="000000"/>
          <w:sz w:val="18"/>
          <w:szCs w:val="18"/>
        </w:rPr>
        <w:noBreakHyphen/>
        <w:t>Channel entsteht daraus ein Beratungsthema, das über reine Technik hinausgeht. Digitale Souveränität wird damit zu einem Differenzierungsmerkmal, um Kunden strategisch zu begleiten, Vertrauen aufzubauen und Geschäftsbeziehungen auszubauen.</w:t>
      </w:r>
    </w:p>
    <w:p w14:paraId="049E6F53" w14:textId="77777777" w:rsidR="00FE4BF6" w:rsidRDefault="00FE4BF6" w:rsidP="00FE4BF6">
      <w:pPr>
        <w:spacing w:before="100" w:beforeAutospacing="1" w:after="100" w:afterAutospacing="1" w:line="300" w:lineRule="atLeast"/>
        <w:rPr>
          <w:rFonts w:ascii="Poppins Light" w:hAnsi="Poppins Light" w:cs="Poppins Light"/>
          <w:b/>
          <w:bCs/>
          <w:i/>
          <w:iCs/>
          <w:color w:val="000000"/>
          <w:sz w:val="18"/>
          <w:szCs w:val="18"/>
        </w:rPr>
      </w:pPr>
      <w:r w:rsidRPr="00FE4BF6">
        <w:rPr>
          <w:rFonts w:ascii="Poppins Light" w:hAnsi="Poppins Light" w:cs="Poppins Light"/>
          <w:b/>
          <w:bCs/>
          <w:i/>
          <w:iCs/>
          <w:color w:val="000000"/>
          <w:sz w:val="18"/>
          <w:szCs w:val="18"/>
        </w:rPr>
        <w:t>„</w:t>
      </w:r>
      <w:proofErr w:type="spellStart"/>
      <w:r w:rsidRPr="00FE4BF6">
        <w:rPr>
          <w:rFonts w:ascii="Poppins Light" w:hAnsi="Poppins Light" w:cs="Poppins Light"/>
          <w:b/>
          <w:bCs/>
          <w:i/>
          <w:iCs/>
          <w:color w:val="000000"/>
          <w:sz w:val="18"/>
          <w:szCs w:val="18"/>
        </w:rPr>
        <w:t>Cybersecurity</w:t>
      </w:r>
      <w:proofErr w:type="spellEnd"/>
      <w:r w:rsidRPr="00FE4BF6">
        <w:rPr>
          <w:rFonts w:ascii="Poppins Light" w:hAnsi="Poppins Light" w:cs="Poppins Light"/>
          <w:b/>
          <w:bCs/>
          <w:i/>
          <w:iCs/>
          <w:color w:val="000000"/>
          <w:sz w:val="18"/>
          <w:szCs w:val="18"/>
        </w:rPr>
        <w:t xml:space="preserve"> ist für viele mittelständische Unternehmen heute weniger eine technische als eine organisatorische Herausforderung. MDR hilft, Risiken verlässlich zu managen, ohne eigene Strukturen aufbauen zu müssen. Für den IT</w:t>
      </w:r>
      <w:r w:rsidRPr="00FE4BF6">
        <w:rPr>
          <w:rFonts w:ascii="Poppins Light" w:hAnsi="Poppins Light" w:cs="Poppins Light"/>
          <w:b/>
          <w:bCs/>
          <w:i/>
          <w:iCs/>
          <w:color w:val="000000"/>
          <w:sz w:val="18"/>
          <w:szCs w:val="18"/>
        </w:rPr>
        <w:noBreakHyphen/>
        <w:t>Channel ist das eine echte Chance, Verantwortung zu übernehmen, Vertrauen zu stärken und Kunden langfristig strategisch zu begleiten – auch vor dem Hintergrund wachsender Anforderungen an digitale Souveränität.“</w:t>
      </w:r>
      <w:r>
        <w:rPr>
          <w:rFonts w:ascii="Poppins Light" w:hAnsi="Poppins Light" w:cs="Poppins Light"/>
          <w:b/>
          <w:bCs/>
          <w:i/>
          <w:iCs/>
          <w:color w:val="000000"/>
          <w:sz w:val="18"/>
          <w:szCs w:val="18"/>
        </w:rPr>
        <w:t xml:space="preserve"> </w:t>
      </w:r>
    </w:p>
    <w:p w14:paraId="091F1F0A" w14:textId="37A9B556" w:rsidR="00FE4BF6" w:rsidRDefault="00FE4BF6" w:rsidP="00FE4BF6">
      <w:pPr>
        <w:spacing w:before="100" w:beforeAutospacing="1" w:after="100" w:afterAutospacing="1" w:line="300" w:lineRule="atLeast"/>
        <w:rPr>
          <w:rFonts w:ascii="Poppins Light" w:hAnsi="Poppins Light" w:cs="Poppins Light"/>
          <w:b/>
          <w:bCs/>
          <w:color w:val="000000"/>
          <w:sz w:val="18"/>
          <w:szCs w:val="18"/>
        </w:rPr>
      </w:pPr>
      <w:r w:rsidRPr="00FE4BF6">
        <w:rPr>
          <w:rFonts w:ascii="Poppins Light" w:hAnsi="Poppins Light" w:cs="Poppins Light"/>
          <w:b/>
          <w:bCs/>
          <w:color w:val="000000"/>
          <w:sz w:val="18"/>
          <w:szCs w:val="18"/>
        </w:rPr>
        <w:t xml:space="preserve">Max </w:t>
      </w:r>
      <w:proofErr w:type="spellStart"/>
      <w:r w:rsidRPr="00FE4BF6">
        <w:rPr>
          <w:rFonts w:ascii="Poppins Light" w:hAnsi="Poppins Light" w:cs="Poppins Light"/>
          <w:b/>
          <w:bCs/>
          <w:color w:val="000000"/>
          <w:sz w:val="18"/>
          <w:szCs w:val="18"/>
        </w:rPr>
        <w:t>Tarantik</w:t>
      </w:r>
      <w:proofErr w:type="spellEnd"/>
      <w:r w:rsidRPr="00FE4BF6">
        <w:rPr>
          <w:rFonts w:ascii="Poppins Light" w:hAnsi="Poppins Light" w:cs="Poppins Light"/>
          <w:b/>
          <w:bCs/>
          <w:color w:val="000000"/>
          <w:sz w:val="18"/>
          <w:szCs w:val="18"/>
        </w:rPr>
        <w:t xml:space="preserve">, Mitgründer und COO, </w:t>
      </w:r>
      <w:proofErr w:type="spellStart"/>
      <w:r w:rsidRPr="00FE4BF6">
        <w:rPr>
          <w:rFonts w:ascii="Poppins Light" w:hAnsi="Poppins Light" w:cs="Poppins Light"/>
          <w:b/>
          <w:bCs/>
          <w:color w:val="000000"/>
          <w:sz w:val="18"/>
          <w:szCs w:val="18"/>
        </w:rPr>
        <w:t>Enginsight</w:t>
      </w:r>
      <w:proofErr w:type="spellEnd"/>
    </w:p>
    <w:p w14:paraId="568DDC21" w14:textId="77777777" w:rsidR="00FE4BF6" w:rsidRPr="00FE4BF6" w:rsidRDefault="00FE4BF6" w:rsidP="00FE4BF6">
      <w:pPr>
        <w:spacing w:before="100" w:beforeAutospacing="1" w:after="100" w:afterAutospacing="1" w:line="300" w:lineRule="atLeast"/>
        <w:rPr>
          <w:rFonts w:ascii="Poppins Light" w:hAnsi="Poppins Light" w:cs="Poppins Light"/>
          <w:b/>
          <w:bCs/>
          <w:i/>
          <w:iCs/>
          <w:color w:val="000000"/>
          <w:sz w:val="18"/>
          <w:szCs w:val="18"/>
        </w:rPr>
      </w:pPr>
    </w:p>
    <w:p w14:paraId="4C23BA8D" w14:textId="13511B1E" w:rsidR="00D26455" w:rsidRDefault="00000000">
      <w:pPr>
        <w:keepNext/>
        <w:spacing w:before="120" w:after="160" w:line="280" w:lineRule="auto"/>
      </w:pPr>
      <w:r>
        <w:rPr>
          <w:rFonts w:ascii="Poppins Medium" w:hAnsi="Poppins Medium" w:cs="Poppins Medium"/>
          <w:caps/>
          <w:color w:val="E91E63"/>
        </w:rPr>
        <w:t>Über Enginsight</w:t>
      </w:r>
    </w:p>
    <w:p w14:paraId="173FBD76" w14:textId="69F9FF3B" w:rsidR="00383D06" w:rsidRPr="00383D06" w:rsidRDefault="00000000" w:rsidP="00FE4BF6">
      <w:pPr>
        <w:spacing w:after="320" w:line="280" w:lineRule="auto"/>
        <w:jc w:val="both"/>
        <w:rPr>
          <w:rFonts w:ascii="Poppins Light" w:hAnsi="Poppins Light" w:cs="Poppins Light"/>
          <w:color w:val="000000"/>
          <w:sz w:val="18"/>
          <w:szCs w:val="18"/>
        </w:rPr>
      </w:pPr>
      <w:r>
        <w:rPr>
          <w:rFonts w:ascii="Poppins Light" w:hAnsi="Poppins Light" w:cs="Poppins Light"/>
          <w:color w:val="000000"/>
          <w:sz w:val="18"/>
          <w:szCs w:val="18"/>
        </w:rPr>
        <w:t xml:space="preserve">Enginsight bietet eine umfassende Cybersecurity-Lösung für den Mittelstand. 2017 in Jena gegründet, ist die vollständig inhouse entwickelte Software heute bei zahlreichen KMU im Einsatz. Die </w:t>
      </w:r>
      <w:r w:rsidR="000E7725">
        <w:rPr>
          <w:rFonts w:ascii="Poppins Light" w:hAnsi="Poppins Light" w:cs="Poppins Light"/>
          <w:color w:val="000000"/>
          <w:sz w:val="18"/>
          <w:szCs w:val="18"/>
        </w:rPr>
        <w:t>Enginsight</w:t>
      </w:r>
      <w:r>
        <w:rPr>
          <w:rFonts w:ascii="Poppins Light" w:hAnsi="Poppins Light" w:cs="Poppins Light"/>
          <w:color w:val="000000"/>
          <w:sz w:val="18"/>
          <w:szCs w:val="18"/>
        </w:rPr>
        <w:t>-Plattform vereint Schwachstellenmanagement, Asset Monitoring, Angriffserkennung, Compliance-Analysen und automatisierte Abwehrmaßnahmen in einer einzigen Lösung. Unter dem Leitmotiv „Unsichtbares sichtbar machen“ und „Unsicheres sicher machen“ kombiniert Enginsight Transparenz, Automatisierung und eine praxisnahe Sicherheitsarchitektur, um den Mittelstand effizient und nachhaltig zu schützen – Cybersecurity 100 % Made in Germany.</w:t>
      </w:r>
    </w:p>
    <w:p w14:paraId="41A47010" w14:textId="77777777" w:rsidR="00383D06" w:rsidRPr="00383D06" w:rsidRDefault="00383D06">
      <w:pPr>
        <w:spacing w:after="320" w:line="280" w:lineRule="auto"/>
        <w:jc w:val="both"/>
        <w:rPr>
          <w:rFonts w:ascii="Poppins Light" w:hAnsi="Poppins Light" w:cs="Poppins Light"/>
          <w:color w:val="000000"/>
          <w:sz w:val="18"/>
          <w:szCs w:val="18"/>
        </w:rPr>
      </w:pPr>
    </w:p>
    <w:p w14:paraId="549B7402" w14:textId="5DB131D2" w:rsidR="00D26455" w:rsidRDefault="00000000">
      <w:pPr>
        <w:keepNext/>
        <w:spacing w:before="120" w:after="120" w:line="280" w:lineRule="auto"/>
      </w:pPr>
      <w:r>
        <w:rPr>
          <w:rFonts w:ascii="Poppins Medium" w:hAnsi="Poppins Medium" w:cs="Poppins Medium"/>
          <w:caps/>
          <w:color w:val="E91E63"/>
        </w:rPr>
        <w:t>Pressekontakt</w:t>
      </w:r>
    </w:p>
    <w:p w14:paraId="6ABE5AAC" w14:textId="77777777" w:rsidR="00D26455" w:rsidRDefault="00000000">
      <w:pPr>
        <w:spacing w:after="60" w:line="280" w:lineRule="auto"/>
      </w:pPr>
      <w:r>
        <w:rPr>
          <w:rFonts w:ascii="Poppins Light" w:hAnsi="Poppins Light" w:cs="Poppins Light"/>
          <w:b/>
          <w:bCs/>
          <w:color w:val="000000"/>
          <w:sz w:val="18"/>
          <w:szCs w:val="18"/>
        </w:rPr>
        <w:t>Sabine Kuch</w:t>
      </w:r>
    </w:p>
    <w:p w14:paraId="23A9728B" w14:textId="77777777" w:rsidR="00D26455" w:rsidRDefault="00000000">
      <w:pPr>
        <w:spacing w:after="60" w:line="280" w:lineRule="auto"/>
      </w:pPr>
      <w:r>
        <w:rPr>
          <w:rFonts w:ascii="Poppins Light" w:hAnsi="Poppins Light" w:cs="Poppins Light"/>
          <w:color w:val="000000"/>
          <w:sz w:val="18"/>
          <w:szCs w:val="18"/>
        </w:rPr>
        <w:t>Enginsight GmbH</w:t>
      </w:r>
    </w:p>
    <w:p w14:paraId="369C1437" w14:textId="77777777" w:rsidR="00D26455" w:rsidRDefault="00000000">
      <w:pPr>
        <w:spacing w:after="60" w:line="280" w:lineRule="auto"/>
      </w:pPr>
      <w:r>
        <w:rPr>
          <w:rFonts w:ascii="Poppins Light" w:hAnsi="Poppins Light" w:cs="Poppins Light"/>
          <w:color w:val="000000"/>
          <w:sz w:val="18"/>
          <w:szCs w:val="18"/>
        </w:rPr>
        <w:t>sabine.kuch[at]enginsight.com</w:t>
      </w:r>
    </w:p>
    <w:p w14:paraId="1CC05408" w14:textId="77777777" w:rsidR="00D26455" w:rsidRDefault="00000000">
      <w:pPr>
        <w:spacing w:after="320" w:line="280" w:lineRule="auto"/>
      </w:pPr>
      <w:r>
        <w:rPr>
          <w:rFonts w:ascii="Poppins Light" w:hAnsi="Poppins Light" w:cs="Poppins Light"/>
          <w:color w:val="54595F"/>
          <w:sz w:val="18"/>
          <w:szCs w:val="18"/>
        </w:rPr>
        <w:t>enginsight.com</w:t>
      </w:r>
    </w:p>
    <w:p w14:paraId="1964666A" w14:textId="77777777" w:rsidR="00D26455" w:rsidRDefault="00000000">
      <w:pPr>
        <w:pBdr>
          <w:top w:val="single" w:sz="4" w:space="4" w:color="CCCCCC"/>
        </w:pBdr>
        <w:spacing w:before="200" w:line="240" w:lineRule="auto"/>
      </w:pPr>
      <w:r>
        <w:rPr>
          <w:rFonts w:ascii="Poppins Light" w:hAnsi="Poppins Light" w:cs="Poppins Light"/>
          <w:i/>
          <w:iCs/>
          <w:color w:val="54595F"/>
          <w:sz w:val="14"/>
          <w:szCs w:val="14"/>
        </w:rPr>
        <w:t>*Wir verzichten zugunsten der Lesbarkeit auf die gendergerechte Schreibweise; weisen aber an dieser Stelle ausdrücklich darauf hin, dass „Kunde“, „Partner“ etc. alle Geschlechtsidentitäten einbezieht.</w:t>
      </w:r>
    </w:p>
    <w:sectPr w:rsidR="00D26455" w:rsidSect="0007767B">
      <w:headerReference w:type="default" r:id="rId10"/>
      <w:footerReference w:type="default" r:id="rId11"/>
      <w:pgSz w:w="11906" w:h="16838"/>
      <w:pgMar w:top="64" w:right="1418" w:bottom="1134" w:left="1418" w:header="26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9A2C" w14:textId="77777777" w:rsidR="00694F6D" w:rsidRDefault="00694F6D" w:rsidP="006F1D54">
      <w:pPr>
        <w:spacing w:line="240" w:lineRule="auto"/>
      </w:pPr>
      <w:r>
        <w:separator/>
      </w:r>
    </w:p>
  </w:endnote>
  <w:endnote w:type="continuationSeparator" w:id="0">
    <w:p w14:paraId="4468EDFE" w14:textId="77777777" w:rsidR="00694F6D" w:rsidRDefault="00694F6D" w:rsidP="006F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Light" w:hAnsi="Poppins Light" w:cs="Poppins Light"/>
        <w:sz w:val="14"/>
        <w:szCs w:val="14"/>
      </w:rPr>
      <w:id w:val="887840559"/>
      <w:docPartObj>
        <w:docPartGallery w:val="Page Numbers (Bottom of Page)"/>
        <w:docPartUnique/>
      </w:docPartObj>
    </w:sdtPr>
    <w:sdtContent>
      <w:sdt>
        <w:sdtPr>
          <w:rPr>
            <w:rFonts w:ascii="Poppins Light" w:hAnsi="Poppins Light" w:cs="Poppins Light"/>
            <w:sz w:val="14"/>
            <w:szCs w:val="14"/>
          </w:rPr>
          <w:id w:val="-1769616900"/>
          <w:docPartObj>
            <w:docPartGallery w:val="Page Numbers (Top of Page)"/>
            <w:docPartUnique/>
          </w:docPartObj>
        </w:sdtPr>
        <w:sdtContent>
          <w:p w14:paraId="68B5508C" w14:textId="77777777" w:rsidR="00027E97" w:rsidRPr="009700CE" w:rsidRDefault="00027E97">
            <w:pPr>
              <w:pStyle w:val="Fuzeile"/>
              <w:jc w:val="right"/>
              <w:rPr>
                <w:rFonts w:ascii="Poppins Light" w:hAnsi="Poppins Light" w:cs="Poppins Light"/>
                <w:sz w:val="14"/>
                <w:szCs w:val="14"/>
              </w:rPr>
            </w:pPr>
            <w:r w:rsidRPr="009700CE">
              <w:rPr>
                <w:rFonts w:ascii="Poppins Light" w:hAnsi="Poppins Light" w:cs="Poppins Light"/>
                <w:sz w:val="14"/>
                <w:szCs w:val="14"/>
              </w:rPr>
              <w:t xml:space="preserve">Seite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PAGE</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r w:rsidRPr="009700CE">
              <w:rPr>
                <w:rFonts w:ascii="Poppins Light" w:hAnsi="Poppins Light" w:cs="Poppins Light"/>
                <w:sz w:val="14"/>
                <w:szCs w:val="14"/>
              </w:rPr>
              <w:t xml:space="preserve"> von </w:t>
            </w:r>
            <w:r w:rsidRPr="009700CE">
              <w:rPr>
                <w:rFonts w:ascii="Poppins Light" w:hAnsi="Poppins Light" w:cs="Poppins Light"/>
                <w:sz w:val="14"/>
                <w:szCs w:val="14"/>
              </w:rPr>
              <w:fldChar w:fldCharType="begin"/>
            </w:r>
            <w:r w:rsidRPr="009700CE">
              <w:rPr>
                <w:rFonts w:ascii="Poppins Light" w:hAnsi="Poppins Light" w:cs="Poppins Light"/>
                <w:sz w:val="14"/>
                <w:szCs w:val="14"/>
              </w:rPr>
              <w:instrText>NUMPAGES</w:instrText>
            </w:r>
            <w:r w:rsidRPr="009700CE">
              <w:rPr>
                <w:rFonts w:ascii="Poppins Light" w:hAnsi="Poppins Light" w:cs="Poppins Light"/>
                <w:sz w:val="14"/>
                <w:szCs w:val="14"/>
              </w:rPr>
              <w:fldChar w:fldCharType="separate"/>
            </w:r>
            <w:r w:rsidR="004F1FCE">
              <w:rPr>
                <w:rFonts w:ascii="Poppins Light" w:hAnsi="Poppins Light" w:cs="Poppins Light"/>
                <w:noProof/>
                <w:sz w:val="14"/>
                <w:szCs w:val="14"/>
              </w:rPr>
              <w:t>3</w:t>
            </w:r>
            <w:r w:rsidRPr="009700CE">
              <w:rPr>
                <w:rFonts w:ascii="Poppins Light" w:hAnsi="Poppins Light" w:cs="Poppins Light"/>
                <w:sz w:val="14"/>
                <w:szCs w:val="14"/>
              </w:rPr>
              <w:fldChar w:fldCharType="end"/>
            </w:r>
          </w:p>
        </w:sdtContent>
      </w:sdt>
    </w:sdtContent>
  </w:sdt>
  <w:p w14:paraId="0EE00260" w14:textId="77777777" w:rsidR="006F1D54" w:rsidRPr="009700CE" w:rsidRDefault="006F1D54">
    <w:pPr>
      <w:pStyle w:val="Fuzeile"/>
      <w:rPr>
        <w:rFonts w:ascii="Poppins Light" w:hAnsi="Poppins Light" w:cs="Poppins Ligh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FE15" w14:textId="77777777" w:rsidR="00694F6D" w:rsidRDefault="00694F6D" w:rsidP="006F1D54">
      <w:pPr>
        <w:spacing w:line="240" w:lineRule="auto"/>
      </w:pPr>
      <w:r>
        <w:separator/>
      </w:r>
    </w:p>
  </w:footnote>
  <w:footnote w:type="continuationSeparator" w:id="0">
    <w:p w14:paraId="4FB3C66A" w14:textId="77777777" w:rsidR="00694F6D" w:rsidRDefault="00694F6D" w:rsidP="006F1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85C8" w14:textId="77777777" w:rsidR="00211552" w:rsidRDefault="00AC4E8E">
    <w:pPr>
      <w:pStyle w:val="Kopfzeile"/>
    </w:pPr>
    <w:r>
      <w:rPr>
        <w:noProof/>
      </w:rPr>
      <w:drawing>
        <wp:anchor distT="0" distB="0" distL="114300" distR="114300" simplePos="0" relativeHeight="251658240" behindDoc="1" locked="0" layoutInCell="1" allowOverlap="1" wp14:anchorId="0A65E7C2" wp14:editId="0EEE09A8">
          <wp:simplePos x="0" y="0"/>
          <wp:positionH relativeFrom="column">
            <wp:posOffset>-910055</wp:posOffset>
          </wp:positionH>
          <wp:positionV relativeFrom="paragraph">
            <wp:posOffset>-1675331</wp:posOffset>
          </wp:positionV>
          <wp:extent cx="7559662" cy="106932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62" cy="1069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7E0A"/>
    <w:multiLevelType w:val="multilevel"/>
    <w:tmpl w:val="417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615D9"/>
    <w:multiLevelType w:val="multilevel"/>
    <w:tmpl w:val="A18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41845">
    <w:abstractNumId w:val="0"/>
  </w:num>
  <w:num w:numId="2" w16cid:durableId="20494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92"/>
    <w:rsid w:val="00027E97"/>
    <w:rsid w:val="00077092"/>
    <w:rsid w:val="0007767B"/>
    <w:rsid w:val="00097833"/>
    <w:rsid w:val="000E7725"/>
    <w:rsid w:val="001F2929"/>
    <w:rsid w:val="00211552"/>
    <w:rsid w:val="00277C10"/>
    <w:rsid w:val="002C56DD"/>
    <w:rsid w:val="002F1181"/>
    <w:rsid w:val="00311639"/>
    <w:rsid w:val="00367C97"/>
    <w:rsid w:val="00383D06"/>
    <w:rsid w:val="0039466C"/>
    <w:rsid w:val="003D260E"/>
    <w:rsid w:val="003F3792"/>
    <w:rsid w:val="00411B0F"/>
    <w:rsid w:val="00413590"/>
    <w:rsid w:val="00446EDA"/>
    <w:rsid w:val="0045193F"/>
    <w:rsid w:val="00476A0B"/>
    <w:rsid w:val="004A7617"/>
    <w:rsid w:val="004F1FCE"/>
    <w:rsid w:val="005F14B3"/>
    <w:rsid w:val="0061547A"/>
    <w:rsid w:val="00625C7C"/>
    <w:rsid w:val="00640CC5"/>
    <w:rsid w:val="006519AA"/>
    <w:rsid w:val="00657F81"/>
    <w:rsid w:val="00694F6D"/>
    <w:rsid w:val="006C38D0"/>
    <w:rsid w:val="006D5582"/>
    <w:rsid w:val="006F1D54"/>
    <w:rsid w:val="00763A4C"/>
    <w:rsid w:val="00791B8B"/>
    <w:rsid w:val="008045FA"/>
    <w:rsid w:val="008050CF"/>
    <w:rsid w:val="00822DF8"/>
    <w:rsid w:val="00824C1F"/>
    <w:rsid w:val="00835E23"/>
    <w:rsid w:val="00883FA1"/>
    <w:rsid w:val="008B260B"/>
    <w:rsid w:val="008E3AAC"/>
    <w:rsid w:val="00912ADA"/>
    <w:rsid w:val="00954506"/>
    <w:rsid w:val="009700CE"/>
    <w:rsid w:val="009F3ABE"/>
    <w:rsid w:val="00A07A0E"/>
    <w:rsid w:val="00A214CC"/>
    <w:rsid w:val="00A35ACE"/>
    <w:rsid w:val="00A563D4"/>
    <w:rsid w:val="00A62992"/>
    <w:rsid w:val="00A71789"/>
    <w:rsid w:val="00A80709"/>
    <w:rsid w:val="00A9345D"/>
    <w:rsid w:val="00AC4E8E"/>
    <w:rsid w:val="00B12D2F"/>
    <w:rsid w:val="00BB439E"/>
    <w:rsid w:val="00C277D6"/>
    <w:rsid w:val="00C565AF"/>
    <w:rsid w:val="00CC3B34"/>
    <w:rsid w:val="00CD6098"/>
    <w:rsid w:val="00CF1468"/>
    <w:rsid w:val="00D13798"/>
    <w:rsid w:val="00D26455"/>
    <w:rsid w:val="00D8315B"/>
    <w:rsid w:val="00D84339"/>
    <w:rsid w:val="00DD1C4A"/>
    <w:rsid w:val="00E612D1"/>
    <w:rsid w:val="00EA2D68"/>
    <w:rsid w:val="00F021DE"/>
    <w:rsid w:val="00F07DB6"/>
    <w:rsid w:val="00F27987"/>
    <w:rsid w:val="00F47CB3"/>
    <w:rsid w:val="00F701CB"/>
    <w:rsid w:val="00F933BF"/>
    <w:rsid w:val="00FB4800"/>
    <w:rsid w:val="00FB6510"/>
    <w:rsid w:val="00FE4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2FF5"/>
  <w15:chartTrackingRefBased/>
  <w15:docId w15:val="{584BA701-096D-491E-9D26-82D53F8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552"/>
    <w:pPr>
      <w:spacing w:after="0" w:line="320" w:lineRule="exact"/>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1D5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F1D54"/>
  </w:style>
  <w:style w:type="paragraph" w:styleId="Fuzeile">
    <w:name w:val="footer"/>
    <w:basedOn w:val="Standard"/>
    <w:link w:val="FuzeileZchn"/>
    <w:uiPriority w:val="99"/>
    <w:unhideWhenUsed/>
    <w:rsid w:val="006F1D5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F1D54"/>
  </w:style>
  <w:style w:type="table" w:styleId="Tabellenraster">
    <w:name w:val="Table Grid"/>
    <w:basedOn w:val="NormaleTabelle"/>
    <w:uiPriority w:val="39"/>
    <w:rsid w:val="00F7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3D260E"/>
    <w:pPr>
      <w:spacing w:after="0" w:line="240" w:lineRule="auto"/>
    </w:pPr>
    <w:rPr>
      <w:rFonts w:ascii="Roboto Light" w:hAnsi="Roboto Light"/>
    </w:rPr>
    <w:tblPr/>
  </w:style>
  <w:style w:type="table" w:styleId="Gitternetztabelle2Akzent2">
    <w:name w:val="Grid Table 2 Accent 2"/>
    <w:basedOn w:val="NormaleTabelle"/>
    <w:uiPriority w:val="47"/>
    <w:rsid w:val="003D260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vorlage2">
    <w:name w:val="Formatvorlage2"/>
    <w:basedOn w:val="Tabellendesign"/>
    <w:uiPriority w:val="99"/>
    <w:rsid w:val="00097833"/>
    <w:pPr>
      <w:spacing w:line="240" w:lineRule="auto"/>
    </w:pPr>
    <w:tblPr>
      <w:tblStyleRowBandSize w:val="1"/>
    </w:tblPr>
    <w:tblStylePr w:type="firstRow">
      <w:pPr>
        <w:jc w:val="center"/>
      </w:pPr>
      <w:rPr>
        <w:rFonts w:ascii="Roboto Medium" w:hAnsi="Roboto Medium"/>
        <w:b/>
        <w:color w:val="FFFFFF" w:themeColor="background1"/>
        <w:sz w:val="18"/>
      </w:rPr>
      <w:tblPr/>
      <w:tcPr>
        <w:tcBorders>
          <w:top w:val="nil"/>
          <w:left w:val="nil"/>
          <w:bottom w:val="nil"/>
          <w:right w:val="nil"/>
          <w:insideH w:val="nil"/>
          <w:insideV w:val="single" w:sz="18" w:space="0" w:color="FFFFFF" w:themeColor="background1"/>
          <w:tl2br w:val="nil"/>
          <w:tr2bl w:val="nil"/>
        </w:tcBorders>
        <w:shd w:val="clear" w:color="auto" w:fill="E91E63"/>
      </w:tcPr>
    </w:tblStylePr>
    <w:tblStylePr w:type="firstCol">
      <w:pPr>
        <w:jc w:val="center"/>
      </w:pPr>
      <w:tblPr/>
      <w:tcPr>
        <w:tcBorders>
          <w:right w:val="single" w:sz="18" w:space="0" w:color="54595F"/>
        </w:tcBorders>
      </w:tcPr>
    </w:tblStylePr>
    <w:tblStylePr w:type="band1Horz">
      <w:tblPr/>
      <w:tcPr>
        <w:tcBorders>
          <w:top w:val="nil"/>
          <w:left w:val="nil"/>
          <w:bottom w:val="nil"/>
          <w:right w:val="nil"/>
          <w:insideH w:val="nil"/>
          <w:insideV w:val="nil"/>
          <w:tl2br w:val="nil"/>
          <w:tr2bl w:val="nil"/>
        </w:tcBorders>
        <w:shd w:val="clear" w:color="auto" w:fill="E9EAEB"/>
      </w:tcPr>
    </w:tblStylePr>
    <w:tblStylePr w:type="band2Horz">
      <w:pPr>
        <w:jc w:val="left"/>
      </w:pPr>
      <w:rPr>
        <w:rFonts w:ascii="Roboto Light" w:hAnsi="Roboto Light"/>
        <w:sz w:val="18"/>
      </w:rPr>
      <w:tblPr/>
      <w:tcPr>
        <w:tcBorders>
          <w:top w:val="nil"/>
          <w:left w:val="nil"/>
          <w:bottom w:val="nil"/>
          <w:right w:val="nil"/>
          <w:insideH w:val="nil"/>
          <w:insideV w:val="nil"/>
          <w:tl2br w:val="nil"/>
          <w:tr2bl w:val="nil"/>
        </w:tcBorders>
      </w:tcPr>
    </w:tblStylePr>
  </w:style>
  <w:style w:type="table" w:styleId="Tabellendesign">
    <w:name w:val="Table Theme"/>
    <w:basedOn w:val="NormaleTabelle"/>
    <w:uiPriority w:val="99"/>
    <w:semiHidden/>
    <w:unhideWhenUsed/>
    <w:rsid w:val="00097833"/>
    <w:pPr>
      <w:spacing w:after="0"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34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345D"/>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612D1"/>
    <w:rPr>
      <w:color w:val="0563C1" w:themeColor="hyperlink"/>
      <w:u w:val="single"/>
    </w:rPr>
  </w:style>
  <w:style w:type="character" w:customStyle="1" w:styleId="NichtaufgelsteErwhnung1">
    <w:name w:val="Nicht aufgelöste Erwähnung1"/>
    <w:basedOn w:val="Absatz-Standardschriftart"/>
    <w:uiPriority w:val="99"/>
    <w:semiHidden/>
    <w:unhideWhenUsed/>
    <w:rsid w:val="00E612D1"/>
    <w:rPr>
      <w:color w:val="605E5C"/>
      <w:shd w:val="clear" w:color="auto" w:fill="E1DFDD"/>
    </w:rPr>
  </w:style>
  <w:style w:type="paragraph" w:styleId="KeinLeerraum">
    <w:name w:val="No Spacing"/>
    <w:link w:val="KeinLeerraumZchn"/>
    <w:uiPriority w:val="1"/>
    <w:qFormat/>
    <w:rsid w:val="0021155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211552"/>
    <w:rPr>
      <w:rFonts w:eastAsiaTheme="minorEastAsia"/>
      <w:lang w:eastAsia="de-DE"/>
    </w:rPr>
  </w:style>
  <w:style w:type="paragraph" w:styleId="Listenabsatz">
    <w:name w:val="List Paragraph"/>
    <w:basedOn w:val="Standard"/>
    <w:uiPriority w:val="34"/>
    <w:qFormat/>
    <w:rsid w:val="00367C97"/>
    <w:pPr>
      <w:ind w:left="720"/>
      <w:contextualSpacing/>
    </w:pPr>
  </w:style>
  <w:style w:type="character" w:styleId="NichtaufgelsteErwhnung">
    <w:name w:val="Unresolved Mention"/>
    <w:basedOn w:val="Absatz-Standardschriftart"/>
    <w:uiPriority w:val="99"/>
    <w:semiHidden/>
    <w:unhideWhenUsed/>
    <w:rsid w:val="006D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9B091AAB57746A4066DF9540ABAD7" ma:contentTypeVersion="13" ma:contentTypeDescription="Ein neues Dokument erstellen." ma:contentTypeScope="" ma:versionID="06ae1e7c8ef2fc41174655a9771ce1ed">
  <xsd:schema xmlns:xsd="http://www.w3.org/2001/XMLSchema" xmlns:xs="http://www.w3.org/2001/XMLSchema" xmlns:p="http://schemas.microsoft.com/office/2006/metadata/properties" xmlns:ns2="af4b70dc-15e8-4bd4-95cc-5fc6e5d806b9" xmlns:ns3="67717297-375d-4094-aebf-8df56d003c3c" targetNamespace="http://schemas.microsoft.com/office/2006/metadata/properties" ma:root="true" ma:fieldsID="e8f225c759b56d1186ad3a46a5bc45f1" ns2:_="" ns3:_="">
    <xsd:import namespace="af4b70dc-15e8-4bd4-95cc-5fc6e5d806b9"/>
    <xsd:import namespace="67717297-375d-4094-aebf-8df56d003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b70dc-15e8-4bd4-95cc-5fc6e5d8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d8085f1-c13c-4d6c-82bb-d85fbf6196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7297-375d-4094-aebf-8df56d003c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2bdb93-8031-467a-8c10-fd7e755b6f22}" ma:internalName="TaxCatchAll" ma:showField="CatchAllData" ma:web="67717297-375d-4094-aebf-8df56d003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4b70dc-15e8-4bd4-95cc-5fc6e5d806b9">
      <Terms xmlns="http://schemas.microsoft.com/office/infopath/2007/PartnerControls"/>
    </lcf76f155ced4ddcb4097134ff3c332f>
    <TaxCatchAll xmlns="67717297-375d-4094-aebf-8df56d003c3c" xsi:nil="true"/>
  </documentManagement>
</p:properties>
</file>

<file path=customXml/itemProps1.xml><?xml version="1.0" encoding="utf-8"?>
<ds:datastoreItem xmlns:ds="http://schemas.openxmlformats.org/officeDocument/2006/customXml" ds:itemID="{129E51C9-350A-415B-8128-8940B848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b70dc-15e8-4bd4-95cc-5fc6e5d806b9"/>
    <ds:schemaRef ds:uri="67717297-375d-4094-aebf-8df56d003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AAC69-1EAF-4F46-9971-8499E39732D3}">
  <ds:schemaRefs>
    <ds:schemaRef ds:uri="http://schemas.microsoft.com/sharepoint/v3/contenttype/forms"/>
  </ds:schemaRefs>
</ds:datastoreItem>
</file>

<file path=customXml/itemProps3.xml><?xml version="1.0" encoding="utf-8"?>
<ds:datastoreItem xmlns:ds="http://schemas.openxmlformats.org/officeDocument/2006/customXml" ds:itemID="{2328498B-877F-4D24-826B-51725BB21A71}">
  <ds:schemaRefs>
    <ds:schemaRef ds:uri="http://schemas.microsoft.com/office/2006/metadata/properties"/>
    <ds:schemaRef ds:uri="http://schemas.microsoft.com/office/infopath/2007/PartnerControls"/>
    <ds:schemaRef ds:uri="af4b70dc-15e8-4bd4-95cc-5fc6e5d806b9"/>
    <ds:schemaRef ds:uri="67717297-375d-4094-aebf-8df56d003c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Schulze</dc:creator>
  <cp:keywords/>
  <dc:description/>
  <cp:lastModifiedBy>Sabine Kuch (Extern)</cp:lastModifiedBy>
  <cp:revision>2</cp:revision>
  <cp:lastPrinted>2026-04-30T10:41:00Z</cp:lastPrinted>
  <dcterms:created xsi:type="dcterms:W3CDTF">2026-05-27T18:52:00Z</dcterms:created>
  <dcterms:modified xsi:type="dcterms:W3CDTF">2026-05-27T18:52:00Z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0x010100D7B9B091AAB57746A4066DF9540ABAD7</vt:lpwstr>
  </property>
  <property fmtid="{D5CDD505-2E9C-101B-9397-08002B2CF9AE}" pid="3" name="MediaServiceImageTags">
    <vt:lpwstr/>
  </property>
</Properties>
</file>